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06" w:rsidRPr="00822606" w:rsidRDefault="00822606" w:rsidP="00822606">
      <w:pPr>
        <w:spacing w:after="0" w:line="240" w:lineRule="auto"/>
        <w:jc w:val="right"/>
        <w:rPr>
          <w:rFonts w:ascii="Century Gothic" w:hAnsi="Century Gothic" w:cs="Aparajita"/>
          <w:b/>
          <w:color w:val="000000" w:themeColor="text1"/>
          <w:sz w:val="24"/>
          <w:szCs w:val="24"/>
        </w:rPr>
      </w:pPr>
      <w:r w:rsidRPr="00822606">
        <w:rPr>
          <w:rFonts w:ascii="Century Gothic" w:hAnsi="Century Gothic" w:cs="Aparajita"/>
          <w:b/>
          <w:color w:val="000000" w:themeColor="text1"/>
          <w:sz w:val="24"/>
          <w:szCs w:val="24"/>
        </w:rPr>
        <w:t xml:space="preserve">Spatial Development and Infrastructure </w:t>
      </w:r>
      <w:r w:rsidR="004D6681">
        <w:rPr>
          <w:rFonts w:ascii="Century Gothic" w:hAnsi="Century Gothic" w:cs="Aparajita"/>
          <w:b/>
          <w:color w:val="000000" w:themeColor="text1"/>
          <w:sz w:val="24"/>
          <w:szCs w:val="24"/>
        </w:rPr>
        <w:t xml:space="preserve">Planning </w:t>
      </w:r>
      <w:r w:rsidRPr="00822606">
        <w:rPr>
          <w:rFonts w:ascii="Century Gothic" w:hAnsi="Century Gothic" w:cs="Aparajita"/>
          <w:b/>
          <w:color w:val="000000" w:themeColor="text1"/>
          <w:sz w:val="24"/>
          <w:szCs w:val="24"/>
        </w:rPr>
        <w:t xml:space="preserve">Support Strategy </w:t>
      </w:r>
    </w:p>
    <w:p w:rsidR="00F50960" w:rsidRPr="00822606" w:rsidRDefault="009A2064" w:rsidP="00822606">
      <w:pPr>
        <w:spacing w:after="0" w:line="240" w:lineRule="auto"/>
        <w:jc w:val="right"/>
        <w:rPr>
          <w:rFonts w:ascii="Century Gothic" w:hAnsi="Century Gothic" w:cs="Aparajita"/>
          <w:b/>
          <w:color w:val="000000" w:themeColor="text1"/>
          <w:sz w:val="24"/>
          <w:szCs w:val="24"/>
        </w:rPr>
      </w:pPr>
      <w:r>
        <w:rPr>
          <w:rFonts w:ascii="Century Gothic" w:hAnsi="Century Gothic" w:cs="Aparajita"/>
          <w:b/>
          <w:color w:val="000000" w:themeColor="text1"/>
          <w:sz w:val="24"/>
          <w:szCs w:val="24"/>
        </w:rPr>
        <w:t>Municipal Support</w:t>
      </w:r>
    </w:p>
    <w:p w:rsidR="00822606" w:rsidRPr="00822606" w:rsidRDefault="0086206E" w:rsidP="00822606">
      <w:pPr>
        <w:spacing w:after="0" w:line="240" w:lineRule="auto"/>
        <w:jc w:val="right"/>
        <w:rPr>
          <w:rFonts w:ascii="Century Gothic" w:hAnsi="Century Gothic" w:cs="Aparajita"/>
          <w:b/>
          <w:color w:val="000000" w:themeColor="text1"/>
          <w:sz w:val="24"/>
          <w:szCs w:val="24"/>
        </w:rPr>
      </w:pPr>
      <w:r>
        <w:rPr>
          <w:rFonts w:ascii="Century Gothic" w:hAnsi="Century Gothic" w:cs="Aparajita"/>
          <w:b/>
          <w:color w:val="000000" w:themeColor="text1"/>
          <w:sz w:val="24"/>
          <w:szCs w:val="24"/>
        </w:rPr>
        <w:t>11 March 2016</w:t>
      </w:r>
    </w:p>
    <w:p w:rsidR="00822606" w:rsidRDefault="00822606" w:rsidP="00822606">
      <w:pPr>
        <w:jc w:val="right"/>
        <w:rPr>
          <w:rFonts w:ascii="Century Gothic" w:hAnsi="Century Gothic" w:cs="Aparajita"/>
          <w:b/>
          <w:color w:val="000000" w:themeColor="text1"/>
          <w:sz w:val="20"/>
          <w:szCs w:val="20"/>
        </w:rPr>
      </w:pPr>
    </w:p>
    <w:p w:rsidR="00943880" w:rsidRPr="0090705A" w:rsidRDefault="00420DF6" w:rsidP="001A46FA">
      <w:pPr>
        <w:pStyle w:val="ListParagraph"/>
        <w:numPr>
          <w:ilvl w:val="0"/>
          <w:numId w:val="3"/>
        </w:numPr>
        <w:jc w:val="both"/>
        <w:rPr>
          <w:rFonts w:ascii="Century Gothic" w:hAnsi="Century Gothic" w:cs="Aparajita"/>
          <w:b/>
          <w:color w:val="000000" w:themeColor="text1"/>
          <w:sz w:val="20"/>
          <w:szCs w:val="20"/>
        </w:rPr>
      </w:pPr>
      <w:r w:rsidRPr="0090705A">
        <w:rPr>
          <w:rFonts w:ascii="Century Gothic" w:hAnsi="Century Gothic" w:cs="Aparajita"/>
          <w:b/>
          <w:color w:val="000000" w:themeColor="text1"/>
          <w:sz w:val="20"/>
          <w:szCs w:val="20"/>
        </w:rPr>
        <w:t>SETTING THE SCENE</w:t>
      </w:r>
    </w:p>
    <w:p w:rsidR="00420DF6" w:rsidRDefault="007B4966" w:rsidP="006A20B7">
      <w:pPr>
        <w:jc w:val="both"/>
        <w:rPr>
          <w:rFonts w:ascii="Century Gothic" w:hAnsi="Century Gothic" w:cs="Aparajita"/>
          <w:color w:val="000000" w:themeColor="text1"/>
          <w:sz w:val="20"/>
          <w:szCs w:val="20"/>
        </w:rPr>
      </w:pPr>
      <w:r w:rsidRPr="0090705A">
        <w:rPr>
          <w:rFonts w:ascii="Century Gothic" w:hAnsi="Century Gothic" w:cs="Aparajita"/>
          <w:color w:val="000000" w:themeColor="text1"/>
          <w:sz w:val="20"/>
          <w:szCs w:val="20"/>
        </w:rPr>
        <w:t xml:space="preserve">The </w:t>
      </w:r>
      <w:r w:rsidR="00420DF6" w:rsidRPr="0090705A">
        <w:rPr>
          <w:rFonts w:ascii="Century Gothic" w:hAnsi="Century Gothic" w:cs="Aparajita"/>
          <w:color w:val="000000" w:themeColor="text1"/>
          <w:sz w:val="20"/>
          <w:szCs w:val="20"/>
        </w:rPr>
        <w:t>Provincial Strategic Plan</w:t>
      </w:r>
      <w:r w:rsidRPr="0090705A">
        <w:rPr>
          <w:rFonts w:ascii="Century Gothic" w:hAnsi="Century Gothic" w:cs="Aparajita"/>
          <w:color w:val="000000" w:themeColor="text1"/>
          <w:sz w:val="20"/>
          <w:szCs w:val="20"/>
        </w:rPr>
        <w:t>: 2014-2019</w:t>
      </w:r>
      <w:r w:rsidR="00420DF6" w:rsidRPr="0090705A">
        <w:rPr>
          <w:rFonts w:ascii="Century Gothic" w:hAnsi="Century Gothic" w:cs="Aparajita"/>
          <w:color w:val="000000" w:themeColor="text1"/>
          <w:sz w:val="20"/>
          <w:szCs w:val="20"/>
        </w:rPr>
        <w:t xml:space="preserve"> (</w:t>
      </w:r>
      <w:r w:rsidRPr="0090705A">
        <w:rPr>
          <w:rFonts w:ascii="Century Gothic" w:hAnsi="Century Gothic" w:cs="Aparajita"/>
          <w:color w:val="000000" w:themeColor="text1"/>
          <w:sz w:val="20"/>
          <w:szCs w:val="20"/>
        </w:rPr>
        <w:t>16 September 2015</w:t>
      </w:r>
      <w:r w:rsidR="00420DF6" w:rsidRPr="0090705A">
        <w:rPr>
          <w:rFonts w:ascii="Century Gothic" w:hAnsi="Century Gothic" w:cs="Aparajita"/>
          <w:color w:val="000000" w:themeColor="text1"/>
          <w:sz w:val="20"/>
          <w:szCs w:val="20"/>
        </w:rPr>
        <w:t>) sets out the Western Cape</w:t>
      </w:r>
      <w:r w:rsidRPr="0090705A">
        <w:rPr>
          <w:rFonts w:ascii="Century Gothic" w:hAnsi="Century Gothic" w:cs="Aparajita"/>
          <w:color w:val="000000" w:themeColor="text1"/>
          <w:sz w:val="20"/>
          <w:szCs w:val="20"/>
        </w:rPr>
        <w:t xml:space="preserve"> Government</w:t>
      </w:r>
      <w:r w:rsidR="00420DF6" w:rsidRPr="0090705A">
        <w:rPr>
          <w:rFonts w:ascii="Century Gothic" w:hAnsi="Century Gothic" w:cs="Aparajita"/>
          <w:color w:val="000000" w:themeColor="text1"/>
          <w:sz w:val="20"/>
          <w:szCs w:val="20"/>
        </w:rPr>
        <w:t>’s vision</w:t>
      </w:r>
      <w:r w:rsidR="00603121">
        <w:rPr>
          <w:rFonts w:ascii="Century Gothic" w:hAnsi="Century Gothic" w:cs="Aparajita"/>
          <w:color w:val="000000" w:themeColor="text1"/>
          <w:sz w:val="20"/>
          <w:szCs w:val="20"/>
        </w:rPr>
        <w:t xml:space="preserve"> and strategic priorities</w:t>
      </w:r>
      <w:r w:rsidRPr="0090705A">
        <w:rPr>
          <w:rFonts w:ascii="Century Gothic" w:hAnsi="Century Gothic" w:cs="Aparajita"/>
          <w:color w:val="000000" w:themeColor="text1"/>
          <w:sz w:val="20"/>
          <w:szCs w:val="20"/>
        </w:rPr>
        <w:t xml:space="preserve">. </w:t>
      </w:r>
      <w:r w:rsidR="00FB6884" w:rsidRPr="0090705A">
        <w:rPr>
          <w:rFonts w:ascii="Century Gothic" w:hAnsi="Century Gothic" w:cs="Aparajita"/>
          <w:color w:val="000000" w:themeColor="text1"/>
          <w:sz w:val="20"/>
          <w:szCs w:val="20"/>
        </w:rPr>
        <w:t>T</w:t>
      </w:r>
      <w:r w:rsidR="00420DF6" w:rsidRPr="0090705A">
        <w:rPr>
          <w:rFonts w:ascii="Century Gothic" w:hAnsi="Century Gothic" w:cs="Aparajita"/>
          <w:color w:val="000000" w:themeColor="text1"/>
          <w:sz w:val="20"/>
          <w:szCs w:val="20"/>
        </w:rPr>
        <w:t xml:space="preserve">he </w:t>
      </w:r>
      <w:r w:rsidR="00FB6884" w:rsidRPr="0090705A">
        <w:rPr>
          <w:rFonts w:ascii="Century Gothic" w:hAnsi="Century Gothic" w:cs="Aparajita"/>
          <w:color w:val="000000" w:themeColor="text1"/>
          <w:sz w:val="20"/>
          <w:szCs w:val="20"/>
        </w:rPr>
        <w:t>PSP</w:t>
      </w:r>
      <w:r w:rsidR="00420DF6" w:rsidRPr="0090705A">
        <w:rPr>
          <w:rFonts w:ascii="Century Gothic" w:hAnsi="Century Gothic" w:cs="Aparajita"/>
          <w:color w:val="000000" w:themeColor="text1"/>
          <w:sz w:val="20"/>
          <w:szCs w:val="20"/>
        </w:rPr>
        <w:t xml:space="preserve"> </w:t>
      </w:r>
      <w:r w:rsidR="008E04BE">
        <w:rPr>
          <w:rFonts w:ascii="Century Gothic" w:hAnsi="Century Gothic" w:cs="Aparajita"/>
          <w:color w:val="000000" w:themeColor="text1"/>
          <w:sz w:val="20"/>
          <w:szCs w:val="20"/>
        </w:rPr>
        <w:t>includes</w:t>
      </w:r>
      <w:r w:rsidRPr="0090705A">
        <w:rPr>
          <w:rFonts w:ascii="Century Gothic" w:hAnsi="Century Gothic" w:cs="Aparajita"/>
          <w:color w:val="000000" w:themeColor="text1"/>
          <w:sz w:val="20"/>
          <w:szCs w:val="20"/>
        </w:rPr>
        <w:t xml:space="preserve"> five</w:t>
      </w:r>
      <w:r w:rsidR="008E04BE">
        <w:rPr>
          <w:rFonts w:ascii="Century Gothic" w:hAnsi="Century Gothic" w:cs="Aparajita"/>
          <w:color w:val="000000" w:themeColor="text1"/>
          <w:sz w:val="20"/>
          <w:szCs w:val="20"/>
        </w:rPr>
        <w:t xml:space="preserve"> (5)</w:t>
      </w:r>
      <w:r w:rsidR="00420DF6" w:rsidRPr="0090705A">
        <w:rPr>
          <w:rFonts w:ascii="Century Gothic" w:hAnsi="Century Gothic" w:cs="Aparajita"/>
          <w:color w:val="000000" w:themeColor="text1"/>
          <w:sz w:val="20"/>
          <w:szCs w:val="20"/>
        </w:rPr>
        <w:t xml:space="preserve"> Strategic Goals</w:t>
      </w:r>
      <w:r w:rsidRPr="0090705A">
        <w:rPr>
          <w:rFonts w:ascii="Century Gothic" w:hAnsi="Century Gothic" w:cs="Aparajita"/>
          <w:color w:val="000000" w:themeColor="text1"/>
          <w:sz w:val="20"/>
          <w:szCs w:val="20"/>
        </w:rPr>
        <w:t xml:space="preserve">, each backed by a plan to maintain continuous improvement in the lives of citizens. These Provincial Strategic Goals (PSGs) are included in the table below. </w:t>
      </w:r>
    </w:p>
    <w:tbl>
      <w:tblPr>
        <w:tblStyle w:val="TableGrid"/>
        <w:tblW w:w="0" w:type="auto"/>
        <w:tblLook w:val="04A0" w:firstRow="1" w:lastRow="0" w:firstColumn="1" w:lastColumn="0" w:noHBand="0" w:noVBand="1"/>
      </w:tblPr>
      <w:tblGrid>
        <w:gridCol w:w="9242"/>
      </w:tblGrid>
      <w:tr w:rsidR="00DA3A37" w:rsidRPr="0090705A" w:rsidTr="00DA3A37">
        <w:tc>
          <w:tcPr>
            <w:tcW w:w="9242" w:type="dxa"/>
          </w:tcPr>
          <w:p w:rsidR="00DA3A37" w:rsidRPr="0090705A" w:rsidRDefault="00DA3A37" w:rsidP="006A20B7">
            <w:pPr>
              <w:jc w:val="both"/>
              <w:rPr>
                <w:rFonts w:ascii="Century Gothic" w:hAnsi="Century Gothic" w:cs="Aparajita"/>
                <w:b/>
                <w:color w:val="000000" w:themeColor="text1"/>
                <w:sz w:val="18"/>
                <w:szCs w:val="18"/>
              </w:rPr>
            </w:pPr>
            <w:r w:rsidRPr="0090705A">
              <w:rPr>
                <w:rFonts w:ascii="Century Gothic" w:hAnsi="Century Gothic" w:cs="Aparajita"/>
                <w:b/>
                <w:color w:val="000000" w:themeColor="text1"/>
                <w:sz w:val="18"/>
                <w:szCs w:val="18"/>
              </w:rPr>
              <w:t>The Provincial Strategic Goals</w:t>
            </w:r>
          </w:p>
        </w:tc>
      </w:tr>
      <w:tr w:rsidR="00DA3A37" w:rsidRPr="0090705A" w:rsidTr="00DA3A37">
        <w:tc>
          <w:tcPr>
            <w:tcW w:w="9242" w:type="dxa"/>
          </w:tcPr>
          <w:p w:rsidR="00DA3A37" w:rsidRPr="0090705A" w:rsidRDefault="00DA3A37" w:rsidP="00DA3A37">
            <w:pPr>
              <w:pStyle w:val="Default"/>
              <w:numPr>
                <w:ilvl w:val="0"/>
                <w:numId w:val="25"/>
              </w:numPr>
              <w:spacing w:line="276" w:lineRule="auto"/>
              <w:jc w:val="both"/>
              <w:rPr>
                <w:rFonts w:ascii="Century Gothic" w:hAnsi="Century Gothic"/>
                <w:sz w:val="18"/>
                <w:szCs w:val="18"/>
              </w:rPr>
            </w:pPr>
            <w:r w:rsidRPr="0090705A">
              <w:rPr>
                <w:rFonts w:ascii="Century Gothic" w:hAnsi="Century Gothic"/>
                <w:b/>
                <w:sz w:val="18"/>
                <w:szCs w:val="18"/>
              </w:rPr>
              <w:t>Create opportunities for growth and jobs</w:t>
            </w:r>
          </w:p>
          <w:p w:rsidR="00DA3A37" w:rsidRPr="007F2C7A" w:rsidRDefault="00DA3A37" w:rsidP="007F2C7A">
            <w:pPr>
              <w:pStyle w:val="Default"/>
              <w:spacing w:line="276" w:lineRule="auto"/>
              <w:ind w:left="360"/>
              <w:jc w:val="both"/>
              <w:rPr>
                <w:rFonts w:ascii="Century Gothic" w:hAnsi="Century Gothic"/>
                <w:sz w:val="18"/>
                <w:szCs w:val="18"/>
              </w:rPr>
            </w:pPr>
            <w:r w:rsidRPr="0090705A">
              <w:rPr>
                <w:rFonts w:ascii="Century Gothic" w:hAnsi="Century Gothic"/>
                <w:sz w:val="18"/>
                <w:szCs w:val="18"/>
              </w:rPr>
              <w:t>We are committed to creating an enabling environment to attract investment, grow the economy and create jobs by supporting high growth economic sectors.</w:t>
            </w:r>
          </w:p>
        </w:tc>
      </w:tr>
      <w:tr w:rsidR="00DA3A37" w:rsidRPr="0090705A" w:rsidTr="00DA3A37">
        <w:tc>
          <w:tcPr>
            <w:tcW w:w="9242" w:type="dxa"/>
          </w:tcPr>
          <w:p w:rsidR="00DA3A37" w:rsidRPr="0090705A" w:rsidRDefault="00DA3A37" w:rsidP="00DA3A37">
            <w:pPr>
              <w:pStyle w:val="Default"/>
              <w:numPr>
                <w:ilvl w:val="0"/>
                <w:numId w:val="25"/>
              </w:numPr>
              <w:spacing w:line="276" w:lineRule="auto"/>
              <w:jc w:val="both"/>
              <w:rPr>
                <w:rFonts w:ascii="Century Gothic" w:hAnsi="Century Gothic"/>
                <w:sz w:val="18"/>
                <w:szCs w:val="18"/>
              </w:rPr>
            </w:pPr>
            <w:r w:rsidRPr="0090705A">
              <w:rPr>
                <w:rFonts w:ascii="Century Gothic" w:hAnsi="Century Gothic"/>
                <w:b/>
                <w:sz w:val="18"/>
                <w:szCs w:val="18"/>
              </w:rPr>
              <w:t>Improve education outcomes and opportunities for youth development</w:t>
            </w:r>
          </w:p>
          <w:p w:rsidR="00DA3A37" w:rsidRPr="007F2C7A" w:rsidRDefault="00DA3A37" w:rsidP="007F2C7A">
            <w:pPr>
              <w:pStyle w:val="Default"/>
              <w:spacing w:line="276" w:lineRule="auto"/>
              <w:ind w:left="360"/>
              <w:jc w:val="both"/>
              <w:rPr>
                <w:rFonts w:ascii="Century Gothic" w:hAnsi="Century Gothic"/>
                <w:sz w:val="18"/>
                <w:szCs w:val="18"/>
              </w:rPr>
            </w:pPr>
            <w:r w:rsidRPr="0090705A">
              <w:rPr>
                <w:rFonts w:ascii="Century Gothic" w:hAnsi="Century Gothic"/>
                <w:sz w:val="18"/>
                <w:szCs w:val="18"/>
              </w:rPr>
              <w:t>We’re committed to expanding quality education across the province and providing opportunities for youth to realise their full potential.</w:t>
            </w:r>
          </w:p>
        </w:tc>
      </w:tr>
      <w:tr w:rsidR="00DA3A37" w:rsidRPr="0090705A" w:rsidTr="00DA3A37">
        <w:tc>
          <w:tcPr>
            <w:tcW w:w="9242" w:type="dxa"/>
          </w:tcPr>
          <w:p w:rsidR="00DA3A37" w:rsidRPr="0090705A" w:rsidRDefault="00DA3A37" w:rsidP="00DA3A37">
            <w:pPr>
              <w:pStyle w:val="Default"/>
              <w:numPr>
                <w:ilvl w:val="0"/>
                <w:numId w:val="25"/>
              </w:numPr>
              <w:spacing w:line="276" w:lineRule="auto"/>
              <w:jc w:val="both"/>
              <w:rPr>
                <w:rFonts w:ascii="Century Gothic" w:hAnsi="Century Gothic"/>
                <w:sz w:val="18"/>
                <w:szCs w:val="18"/>
              </w:rPr>
            </w:pPr>
            <w:r w:rsidRPr="0090705A">
              <w:rPr>
                <w:rFonts w:ascii="Century Gothic" w:hAnsi="Century Gothic"/>
                <w:b/>
                <w:sz w:val="18"/>
                <w:szCs w:val="18"/>
              </w:rPr>
              <w:t>Increase wellness and safety, and tackle social ills</w:t>
            </w:r>
          </w:p>
          <w:p w:rsidR="00DA3A37" w:rsidRPr="007F2C7A" w:rsidRDefault="00DA3A37" w:rsidP="007F2C7A">
            <w:pPr>
              <w:pStyle w:val="Default"/>
              <w:spacing w:line="276" w:lineRule="auto"/>
              <w:ind w:left="360"/>
              <w:jc w:val="both"/>
              <w:rPr>
                <w:rFonts w:ascii="Century Gothic" w:hAnsi="Century Gothic"/>
                <w:sz w:val="18"/>
                <w:szCs w:val="18"/>
              </w:rPr>
            </w:pPr>
            <w:r w:rsidRPr="0090705A">
              <w:rPr>
                <w:rFonts w:ascii="Century Gothic" w:hAnsi="Century Gothic"/>
                <w:sz w:val="18"/>
                <w:szCs w:val="18"/>
              </w:rPr>
              <w:t>We’re committed to addressing health, safety and social ills by supporting healthy communities, a healthy workforce, and healthy families, youth and children.</w:t>
            </w:r>
          </w:p>
        </w:tc>
      </w:tr>
      <w:tr w:rsidR="00DA3A37" w:rsidRPr="0090705A" w:rsidTr="00DA3A37">
        <w:tc>
          <w:tcPr>
            <w:tcW w:w="9242" w:type="dxa"/>
          </w:tcPr>
          <w:p w:rsidR="00DA3A37" w:rsidRPr="0090705A" w:rsidRDefault="00DA3A37" w:rsidP="00DA3A37">
            <w:pPr>
              <w:pStyle w:val="Default"/>
              <w:numPr>
                <w:ilvl w:val="0"/>
                <w:numId w:val="25"/>
              </w:numPr>
              <w:spacing w:line="276" w:lineRule="auto"/>
              <w:jc w:val="both"/>
              <w:rPr>
                <w:rFonts w:ascii="Century Gothic" w:hAnsi="Century Gothic"/>
                <w:sz w:val="18"/>
                <w:szCs w:val="18"/>
              </w:rPr>
            </w:pPr>
            <w:r w:rsidRPr="0090705A">
              <w:rPr>
                <w:rFonts w:ascii="Century Gothic" w:hAnsi="Century Gothic"/>
                <w:b/>
                <w:sz w:val="18"/>
                <w:szCs w:val="18"/>
              </w:rPr>
              <w:t>Enable a resilient, sustainable, quality and inclusive living environment</w:t>
            </w:r>
          </w:p>
          <w:p w:rsidR="00DA3A37" w:rsidRPr="007F2C7A" w:rsidRDefault="00DA3A37" w:rsidP="007F2C7A">
            <w:pPr>
              <w:pStyle w:val="Default"/>
              <w:spacing w:line="276" w:lineRule="auto"/>
              <w:ind w:left="360"/>
              <w:jc w:val="both"/>
              <w:rPr>
                <w:rFonts w:ascii="Century Gothic" w:hAnsi="Century Gothic"/>
                <w:sz w:val="18"/>
                <w:szCs w:val="18"/>
              </w:rPr>
            </w:pPr>
            <w:r w:rsidRPr="0090705A">
              <w:rPr>
                <w:rFonts w:ascii="Century Gothic" w:hAnsi="Century Gothic"/>
                <w:sz w:val="18"/>
                <w:szCs w:val="18"/>
              </w:rPr>
              <w:t>We’re committed to improving urban and rural areas through enhanced management of land, an enhanced climate change plan, and better living conditions for all.</w:t>
            </w:r>
          </w:p>
        </w:tc>
      </w:tr>
      <w:tr w:rsidR="00DA3A37" w:rsidRPr="0090705A" w:rsidTr="00DA3A37">
        <w:tc>
          <w:tcPr>
            <w:tcW w:w="9242" w:type="dxa"/>
          </w:tcPr>
          <w:p w:rsidR="00DA3A37" w:rsidRPr="0090705A" w:rsidRDefault="00DA3A37" w:rsidP="00DA3A37">
            <w:pPr>
              <w:pStyle w:val="Default"/>
              <w:numPr>
                <w:ilvl w:val="0"/>
                <w:numId w:val="25"/>
              </w:numPr>
              <w:spacing w:line="276" w:lineRule="auto"/>
              <w:jc w:val="both"/>
              <w:rPr>
                <w:rFonts w:ascii="Century Gothic" w:hAnsi="Century Gothic"/>
                <w:sz w:val="18"/>
                <w:szCs w:val="18"/>
              </w:rPr>
            </w:pPr>
            <w:r w:rsidRPr="0090705A">
              <w:rPr>
                <w:rFonts w:ascii="Century Gothic" w:hAnsi="Century Gothic"/>
                <w:b/>
                <w:sz w:val="18"/>
                <w:szCs w:val="18"/>
              </w:rPr>
              <w:t>Embed good governance and integrated service delivery through partnerships and spatial alignment</w:t>
            </w:r>
            <w:r w:rsidRPr="0090705A">
              <w:rPr>
                <w:rFonts w:ascii="Century Gothic" w:hAnsi="Century Gothic"/>
                <w:sz w:val="18"/>
                <w:szCs w:val="18"/>
              </w:rPr>
              <w:t xml:space="preserve"> </w:t>
            </w:r>
          </w:p>
          <w:p w:rsidR="00DA3A37" w:rsidRPr="007F2C7A" w:rsidRDefault="00DA3A37" w:rsidP="007F2C7A">
            <w:pPr>
              <w:pStyle w:val="Default"/>
              <w:spacing w:line="276" w:lineRule="auto"/>
              <w:ind w:left="360"/>
              <w:jc w:val="both"/>
              <w:rPr>
                <w:rFonts w:ascii="Century Gothic" w:hAnsi="Century Gothic"/>
                <w:sz w:val="18"/>
                <w:szCs w:val="18"/>
              </w:rPr>
            </w:pPr>
            <w:r w:rsidRPr="0090705A">
              <w:rPr>
                <w:rFonts w:ascii="Century Gothic" w:hAnsi="Century Gothic"/>
                <w:sz w:val="18"/>
                <w:szCs w:val="18"/>
              </w:rPr>
              <w:t>We’re committed to delivering good governance and an inclusive society that increases access to information, in partnership with active citizens, business and institutions.</w:t>
            </w:r>
          </w:p>
        </w:tc>
      </w:tr>
    </w:tbl>
    <w:p w:rsidR="00DA3A37" w:rsidRPr="0090705A" w:rsidRDefault="00DA3A37" w:rsidP="006A20B7">
      <w:pPr>
        <w:jc w:val="both"/>
        <w:rPr>
          <w:rFonts w:ascii="Century Gothic" w:hAnsi="Century Gothic" w:cs="Aparajita"/>
          <w:color w:val="000000" w:themeColor="text1"/>
          <w:sz w:val="20"/>
          <w:szCs w:val="20"/>
        </w:rPr>
      </w:pPr>
    </w:p>
    <w:p w:rsidR="005A608D" w:rsidRDefault="00D0266B" w:rsidP="009D64D5">
      <w:pPr>
        <w:jc w:val="both"/>
        <w:rPr>
          <w:rFonts w:ascii="Century Gothic" w:hAnsi="Century Gothic" w:cs="Aparajita"/>
          <w:sz w:val="20"/>
          <w:szCs w:val="20"/>
        </w:rPr>
      </w:pPr>
      <w:r>
        <w:rPr>
          <w:rFonts w:ascii="Century Gothic" w:hAnsi="Century Gothic" w:cs="Aparajita"/>
          <w:sz w:val="20"/>
          <w:szCs w:val="20"/>
        </w:rPr>
        <w:t xml:space="preserve">The graphic below unpacks </w:t>
      </w:r>
      <w:r w:rsidR="009D64D5" w:rsidRPr="0090705A">
        <w:rPr>
          <w:rFonts w:ascii="Century Gothic" w:hAnsi="Century Gothic" w:cs="Aparajita"/>
          <w:sz w:val="20"/>
          <w:szCs w:val="20"/>
        </w:rPr>
        <w:t>PSG 4</w:t>
      </w:r>
      <w:r>
        <w:rPr>
          <w:rFonts w:ascii="Century Gothic" w:hAnsi="Century Gothic" w:cs="Aparajita"/>
          <w:sz w:val="20"/>
          <w:szCs w:val="20"/>
        </w:rPr>
        <w:t xml:space="preserve">: </w:t>
      </w:r>
      <w:r w:rsidRPr="0086206E">
        <w:rPr>
          <w:rFonts w:ascii="Century Gothic" w:hAnsi="Century Gothic" w:cs="Aparajita"/>
          <w:i/>
          <w:sz w:val="20"/>
          <w:szCs w:val="20"/>
        </w:rPr>
        <w:t>Enabling a Resilient, Sustainable, Quality and Inclusive Living Environment</w:t>
      </w:r>
      <w:r>
        <w:rPr>
          <w:rFonts w:ascii="Century Gothic" w:hAnsi="Century Gothic" w:cs="Aparajita"/>
          <w:sz w:val="20"/>
          <w:szCs w:val="20"/>
        </w:rPr>
        <w:t>. The graphic indicates four (</w:t>
      </w:r>
      <w:r w:rsidR="009D64D5" w:rsidRPr="0090705A">
        <w:rPr>
          <w:rFonts w:ascii="Century Gothic" w:hAnsi="Century Gothic" w:cs="Aparajita"/>
          <w:sz w:val="20"/>
          <w:szCs w:val="20"/>
        </w:rPr>
        <w:t>4</w:t>
      </w:r>
      <w:r>
        <w:rPr>
          <w:rFonts w:ascii="Century Gothic" w:hAnsi="Century Gothic" w:cs="Aparajita"/>
          <w:sz w:val="20"/>
          <w:szCs w:val="20"/>
        </w:rPr>
        <w:t>)</w:t>
      </w:r>
      <w:r w:rsidR="009D64D5" w:rsidRPr="0090705A">
        <w:rPr>
          <w:rFonts w:ascii="Century Gothic" w:hAnsi="Century Gothic" w:cs="Aparajita"/>
          <w:sz w:val="20"/>
          <w:szCs w:val="20"/>
        </w:rPr>
        <w:t xml:space="preserve"> </w:t>
      </w:r>
      <w:r w:rsidR="00D02439">
        <w:rPr>
          <w:rFonts w:ascii="Century Gothic" w:hAnsi="Century Gothic" w:cs="Aparajita"/>
          <w:sz w:val="20"/>
          <w:szCs w:val="20"/>
        </w:rPr>
        <w:t xml:space="preserve">Work </w:t>
      </w:r>
      <w:r w:rsidR="008E04BE" w:rsidRPr="0090705A">
        <w:rPr>
          <w:rFonts w:ascii="Century Gothic" w:hAnsi="Century Gothic" w:cs="Aparajita"/>
          <w:sz w:val="20"/>
          <w:szCs w:val="20"/>
        </w:rPr>
        <w:t xml:space="preserve">Groups </w:t>
      </w:r>
      <w:r w:rsidR="008E04BE">
        <w:rPr>
          <w:rFonts w:ascii="Century Gothic" w:hAnsi="Century Gothic" w:cs="Aparajita"/>
          <w:sz w:val="20"/>
          <w:szCs w:val="20"/>
        </w:rPr>
        <w:t xml:space="preserve">(in green) </w:t>
      </w:r>
      <w:r w:rsidR="00D02439">
        <w:rPr>
          <w:rFonts w:ascii="Century Gothic" w:hAnsi="Century Gothic" w:cs="Aparajita"/>
          <w:sz w:val="20"/>
          <w:szCs w:val="20"/>
        </w:rPr>
        <w:t xml:space="preserve">and </w:t>
      </w:r>
      <w:r>
        <w:rPr>
          <w:rFonts w:ascii="Century Gothic" w:hAnsi="Century Gothic" w:cs="Aparajita"/>
          <w:sz w:val="20"/>
          <w:szCs w:val="20"/>
        </w:rPr>
        <w:t>four (4)</w:t>
      </w:r>
      <w:r w:rsidR="00D02439">
        <w:rPr>
          <w:rFonts w:ascii="Century Gothic" w:hAnsi="Century Gothic" w:cs="Aparajita"/>
          <w:sz w:val="20"/>
          <w:szCs w:val="20"/>
        </w:rPr>
        <w:t xml:space="preserve"> Sub-Work Groups</w:t>
      </w:r>
      <w:r w:rsidR="008E04BE">
        <w:rPr>
          <w:rFonts w:ascii="Century Gothic" w:hAnsi="Century Gothic" w:cs="Aparajita"/>
          <w:sz w:val="20"/>
          <w:szCs w:val="20"/>
        </w:rPr>
        <w:t xml:space="preserve"> (in pink)</w:t>
      </w:r>
      <w:r w:rsidR="00D02439">
        <w:rPr>
          <w:rFonts w:ascii="Century Gothic" w:hAnsi="Century Gothic" w:cs="Aparajita"/>
          <w:sz w:val="20"/>
          <w:szCs w:val="20"/>
        </w:rPr>
        <w:t xml:space="preserve">. </w:t>
      </w:r>
      <w:r w:rsidR="00A5392C">
        <w:rPr>
          <w:rFonts w:ascii="Century Gothic" w:hAnsi="Century Gothic" w:cs="Aparajita"/>
          <w:sz w:val="20"/>
          <w:szCs w:val="20"/>
        </w:rPr>
        <w:t xml:space="preserve">This report </w:t>
      </w:r>
      <w:r w:rsidR="0086206E">
        <w:rPr>
          <w:rFonts w:ascii="Century Gothic" w:hAnsi="Century Gothic" w:cs="Aparajita"/>
          <w:sz w:val="20"/>
          <w:szCs w:val="20"/>
        </w:rPr>
        <w:t xml:space="preserve">is a deliverable of the </w:t>
      </w:r>
      <w:r w:rsidR="00A5392C">
        <w:rPr>
          <w:rFonts w:ascii="Century Gothic" w:hAnsi="Century Gothic" w:cs="Aparajita"/>
          <w:sz w:val="20"/>
          <w:szCs w:val="20"/>
        </w:rPr>
        <w:t>Spatial Development and Infrastructure Planning Support Sub-Work Group.</w:t>
      </w:r>
    </w:p>
    <w:p w:rsidR="000B691D" w:rsidRDefault="000B691D" w:rsidP="000B691D">
      <w:pPr>
        <w:jc w:val="center"/>
        <w:rPr>
          <w:rFonts w:ascii="Century Gothic" w:hAnsi="Century Gothic" w:cs="Aparajita"/>
          <w:sz w:val="20"/>
          <w:szCs w:val="20"/>
        </w:rPr>
      </w:pPr>
      <w:r>
        <w:rPr>
          <w:rFonts w:ascii="Century Gothic" w:hAnsi="Century Gothic" w:cs="Aparajita"/>
          <w:noProof/>
          <w:lang w:eastAsia="en-ZA"/>
        </w:rPr>
        <mc:AlternateContent>
          <mc:Choice Requires="wps">
            <w:drawing>
              <wp:anchor distT="0" distB="0" distL="114300" distR="114300" simplePos="0" relativeHeight="251659264" behindDoc="0" locked="0" layoutInCell="1" allowOverlap="1" wp14:anchorId="63FE2827" wp14:editId="285742A0">
                <wp:simplePos x="0" y="0"/>
                <wp:positionH relativeFrom="column">
                  <wp:posOffset>4084158</wp:posOffset>
                </wp:positionH>
                <wp:positionV relativeFrom="paragraph">
                  <wp:posOffset>1799590</wp:posOffset>
                </wp:positionV>
                <wp:extent cx="1435100" cy="49911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435100" cy="49911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1.6pt;margin-top:141.7pt;width:113pt;height:3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n5nwIAAJ0FAAAOAAAAZHJzL2Uyb0RvYy54bWysVMFu2zAMvQ/YPwi6r7azdFuDOkXQIsOA&#10;og3aDj0rshQbkEVNUuJkXz9SdtysK3YYloNCieQj+Uzy8mrfGrZTPjRgS16c5ZwpK6Fq7Kbk35+W&#10;H75wFqKwlTBgVckPKvCr+ft3l52bqQnUYCrlGYLYMOtcyesY3SzLgqxVK8IZOGVRqcG3IuLVb7LK&#10;iw7RW5NN8vxT1oGvnAepQsDXm17J5wlfayXjvdZBRWZKjrnFdPp0runM5pditvHC1Y0c0hD/kEUr&#10;GotBR6gbEQXb+uYPqLaRHgLoeCahzUDrRqpUA1ZT5K+qeayFU6kWJCe4kabw/2Dl3W7lWVPht+PM&#10;ihY/0QOSJuzGKFYQPZ0LM7R6dCs/3AKKVOte+5b+sQq2T5QeRkrVPjKJj8X043mRI/MSddOLi6JI&#10;nGcv3s6H+FVBy0goucfoiUmxuw0RI6Lp0YSCWVg2xqTPZiw9BDBNRW/p4jfra+PZTuD3Xi5z/FEN&#10;iPGbGQHeiFD3dhVKgxVBZlRxX2OS4sEowjb2QWmkCquapAxTk6oxnJBS2Vj0qlpUqkc/P02C2po8&#10;UkoJkJA1Zj9iDwBHyx7kiN3XMtiTq0o9Pjrnf0usdx49UmSwcXRuGwv+LQCDVQ2Re/sjST01xNIa&#10;qgM2kod+woKTywZJvhUhroTHkcIWwDUR7/HQBrqSwyBxVoP/+dY72WOno5azDke05OHHVnjFmflm&#10;cQYuiumUZjpdpuefJ3jxp5r1qcZu22vArsA+x+ySSPbRHEXtoX3GbbKgqKgSVmLsksvoj5fr2K8O&#10;3EdSLRbJDOfYiXhrH50kcGKV2utp/yy8G5o64jjcwXGcxexVb/e25GlhsY2gm9T4L7wOfOMOSI0z&#10;7CtaMqf3ZPWyVee/AAAA//8DAFBLAwQUAAYACAAAACEAulkkhOEAAAALAQAADwAAAGRycy9kb3du&#10;cmV2LnhtbEyPwU7DMAyG70i8Q2QkLhNLaauq65pOgDQucFk3cc4S01ZrnJJkW3l7wgmOtj/9/v56&#10;M5uRXdD5wZKAx2UCDElZPVAn4LDfPpTAfJCk5WgJBXyjh01ze1PLStsr7fDSho7FEPKVFNCHMFWc&#10;e9WjkX5pJ6R4+7TOyBBH13Ht5DWGm5GnSVJwIweKH3o54UuP6tSejYDdwi5y9fH16k7bvXo7vD+P&#10;Lc1C3N/NT2tgAefwB8OvflSHJjod7Zm0Z6OAIs/SiApIyywHFomyWMXNUUBWpAnwpub/OzQ/AAAA&#10;//8DAFBLAQItABQABgAIAAAAIQC2gziS/gAAAOEBAAATAAAAAAAAAAAAAAAAAAAAAABbQ29udGVu&#10;dF9UeXBlc10ueG1sUEsBAi0AFAAGAAgAAAAhADj9If/WAAAAlAEAAAsAAAAAAAAAAAAAAAAALwEA&#10;AF9yZWxzLy5yZWxzUEsBAi0AFAAGAAgAAAAhAMjMSfmfAgAAnQUAAA4AAAAAAAAAAAAAAAAALgIA&#10;AGRycy9lMm9Eb2MueG1sUEsBAi0AFAAGAAgAAAAhALpZJIThAAAACwEAAA8AAAAAAAAAAAAAAAAA&#10;+QQAAGRycy9kb3ducmV2LnhtbFBLBQYAAAAABAAEAPMAAAAHBgAAAAA=&#10;" filled="f" strokecolor="red" strokeweight="2pt">
                <v:stroke dashstyle="dash"/>
              </v:rect>
            </w:pict>
          </mc:Fallback>
        </mc:AlternateContent>
      </w:r>
      <w:r>
        <w:rPr>
          <w:rFonts w:ascii="Century Gothic" w:hAnsi="Century Gothic" w:cs="Aparajita"/>
          <w:noProof/>
          <w:sz w:val="20"/>
          <w:szCs w:val="20"/>
          <w:lang w:eastAsia="en-ZA"/>
        </w:rPr>
        <w:drawing>
          <wp:inline distT="0" distB="0" distL="0" distR="0" wp14:anchorId="36A3C187" wp14:editId="434423DF">
            <wp:extent cx="5306300" cy="2880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 4 Slide_rev2.jpg"/>
                    <pic:cNvPicPr/>
                  </pic:nvPicPr>
                  <pic:blipFill rotWithShape="1">
                    <a:blip r:embed="rId10" cstate="print">
                      <a:extLst>
                        <a:ext uri="{28A0092B-C50C-407E-A947-70E740481C1C}">
                          <a14:useLocalDpi xmlns:a14="http://schemas.microsoft.com/office/drawing/2010/main" val="0"/>
                        </a:ext>
                      </a:extLst>
                    </a:blip>
                    <a:srcRect t="15346" b="12292"/>
                    <a:stretch/>
                  </pic:blipFill>
                  <pic:spPr bwMode="auto">
                    <a:xfrm>
                      <a:off x="0" y="0"/>
                      <a:ext cx="5306300" cy="2880000"/>
                    </a:xfrm>
                    <a:prstGeom prst="rect">
                      <a:avLst/>
                    </a:prstGeom>
                    <a:ln>
                      <a:noFill/>
                    </a:ln>
                    <a:extLst>
                      <a:ext uri="{53640926-AAD7-44D8-BBD7-CCE9431645EC}">
                        <a14:shadowObscured xmlns:a14="http://schemas.microsoft.com/office/drawing/2010/main"/>
                      </a:ext>
                    </a:extLst>
                  </pic:spPr>
                </pic:pic>
              </a:graphicData>
            </a:graphic>
          </wp:inline>
        </w:drawing>
      </w:r>
    </w:p>
    <w:p w:rsidR="00A5392C" w:rsidRPr="0090705A" w:rsidRDefault="00A5392C" w:rsidP="00A5392C">
      <w:pPr>
        <w:pStyle w:val="ListParagraph"/>
        <w:numPr>
          <w:ilvl w:val="0"/>
          <w:numId w:val="3"/>
        </w:numPr>
        <w:jc w:val="both"/>
        <w:rPr>
          <w:rFonts w:ascii="Century Gothic" w:hAnsi="Century Gothic" w:cs="Aparajita"/>
          <w:b/>
          <w:sz w:val="20"/>
          <w:szCs w:val="20"/>
        </w:rPr>
      </w:pPr>
      <w:r>
        <w:rPr>
          <w:rFonts w:ascii="Century Gothic" w:hAnsi="Century Gothic" w:cs="Aparajita"/>
          <w:b/>
          <w:sz w:val="20"/>
          <w:szCs w:val="20"/>
        </w:rPr>
        <w:lastRenderedPageBreak/>
        <w:t>SUB-WORK GROUP</w:t>
      </w:r>
      <w:r w:rsidR="002167CB">
        <w:rPr>
          <w:rFonts w:ascii="Century Gothic" w:hAnsi="Century Gothic" w:cs="Aparajita"/>
          <w:b/>
          <w:sz w:val="20"/>
          <w:szCs w:val="20"/>
        </w:rPr>
        <w:t xml:space="preserve">: </w:t>
      </w:r>
      <w:r w:rsidR="0097268A">
        <w:rPr>
          <w:rFonts w:ascii="Century Gothic" w:hAnsi="Century Gothic" w:cs="Aparajita"/>
          <w:b/>
          <w:sz w:val="20"/>
          <w:szCs w:val="20"/>
        </w:rPr>
        <w:t>PURPOSE</w:t>
      </w:r>
    </w:p>
    <w:p w:rsidR="002167CB" w:rsidRPr="002167CB" w:rsidRDefault="002167CB" w:rsidP="002167CB">
      <w:pPr>
        <w:jc w:val="both"/>
        <w:rPr>
          <w:rFonts w:ascii="Century Gothic" w:hAnsi="Century Gothic" w:cs="Aparajita"/>
          <w:b/>
          <w:sz w:val="20"/>
          <w:szCs w:val="20"/>
        </w:rPr>
      </w:pPr>
      <w:r w:rsidRPr="002167CB">
        <w:rPr>
          <w:rFonts w:ascii="Century Gothic" w:hAnsi="Century Gothic" w:cs="Aparajita"/>
          <w:sz w:val="20"/>
          <w:szCs w:val="20"/>
        </w:rPr>
        <w:t xml:space="preserve">The </w:t>
      </w:r>
      <w:r>
        <w:rPr>
          <w:rFonts w:ascii="Century Gothic" w:hAnsi="Century Gothic" w:cs="Aparajita"/>
          <w:sz w:val="20"/>
          <w:szCs w:val="20"/>
        </w:rPr>
        <w:t>Sub-Work Group</w:t>
      </w:r>
      <w:r w:rsidRPr="002167CB">
        <w:rPr>
          <w:rFonts w:ascii="Century Gothic" w:hAnsi="Century Gothic" w:cs="Aparajita"/>
          <w:sz w:val="20"/>
          <w:szCs w:val="20"/>
        </w:rPr>
        <w:t xml:space="preserve"> aims to improve the</w:t>
      </w:r>
      <w:r w:rsidR="0086206E">
        <w:rPr>
          <w:rFonts w:ascii="Century Gothic" w:hAnsi="Century Gothic" w:cs="Aparajita"/>
          <w:sz w:val="20"/>
          <w:szCs w:val="20"/>
        </w:rPr>
        <w:t xml:space="preserve"> resilience, sustainability, quality and inclusivity of urban and rural settlement through the improved integration of and improved implementation of Municipal Spatial Development Frameworks, Integrated Transport Plans, Integrated Human Settlement Plans, Integrated Waste Management Plans (including Waste Infrastructure Planning) and Infrastructure and Growth Plans. The aim is to improve the planning process, the substantive content and the implementation of the</w:t>
      </w:r>
      <w:r w:rsidR="00E549E5">
        <w:rPr>
          <w:rFonts w:ascii="Century Gothic" w:hAnsi="Century Gothic" w:cs="Aparajita"/>
          <w:sz w:val="20"/>
          <w:szCs w:val="20"/>
        </w:rPr>
        <w:t>se</w:t>
      </w:r>
      <w:r w:rsidR="0086206E">
        <w:rPr>
          <w:rFonts w:ascii="Century Gothic" w:hAnsi="Century Gothic" w:cs="Aparajita"/>
          <w:sz w:val="20"/>
          <w:szCs w:val="20"/>
        </w:rPr>
        <w:t xml:space="preserve"> plans. </w:t>
      </w:r>
    </w:p>
    <w:p w:rsidR="0097268A" w:rsidRPr="00D970E9" w:rsidRDefault="0097268A" w:rsidP="000C697D">
      <w:pPr>
        <w:pStyle w:val="ListParagraph"/>
        <w:numPr>
          <w:ilvl w:val="0"/>
          <w:numId w:val="3"/>
        </w:numPr>
        <w:jc w:val="both"/>
        <w:rPr>
          <w:rFonts w:ascii="Century Gothic" w:hAnsi="Century Gothic" w:cs="Aparajita"/>
          <w:b/>
          <w:sz w:val="20"/>
          <w:szCs w:val="20"/>
        </w:rPr>
      </w:pPr>
      <w:r w:rsidRPr="00D970E9">
        <w:rPr>
          <w:rFonts w:ascii="Century Gothic" w:hAnsi="Century Gothic" w:cs="Aparajita"/>
          <w:b/>
          <w:sz w:val="20"/>
          <w:szCs w:val="20"/>
        </w:rPr>
        <w:t>SUB-WORK GROUP</w:t>
      </w:r>
      <w:r w:rsidR="002167CB">
        <w:rPr>
          <w:rFonts w:ascii="Century Gothic" w:hAnsi="Century Gothic" w:cs="Aparajita"/>
          <w:b/>
          <w:sz w:val="20"/>
          <w:szCs w:val="20"/>
        </w:rPr>
        <w:t xml:space="preserve">: </w:t>
      </w:r>
      <w:r w:rsidRPr="00D970E9">
        <w:rPr>
          <w:rFonts w:ascii="Century Gothic" w:hAnsi="Century Gothic" w:cs="Aparajita"/>
          <w:b/>
          <w:sz w:val="20"/>
          <w:szCs w:val="20"/>
        </w:rPr>
        <w:t>DELIVERABLES</w:t>
      </w:r>
    </w:p>
    <w:p w:rsidR="000C697D" w:rsidRDefault="00143D1D" w:rsidP="000C697D">
      <w:pPr>
        <w:pStyle w:val="Default"/>
        <w:spacing w:line="276" w:lineRule="auto"/>
        <w:jc w:val="both"/>
        <w:rPr>
          <w:rFonts w:ascii="Century Gothic" w:hAnsi="Century Gothic" w:cs="Aparajita"/>
          <w:color w:val="000000" w:themeColor="text1"/>
          <w:sz w:val="20"/>
          <w:szCs w:val="20"/>
        </w:rPr>
      </w:pPr>
      <w:r w:rsidRPr="0090705A">
        <w:rPr>
          <w:rFonts w:ascii="Century Gothic" w:hAnsi="Century Gothic" w:cs="Aparajita"/>
          <w:color w:val="auto"/>
          <w:sz w:val="20"/>
          <w:szCs w:val="20"/>
        </w:rPr>
        <w:t xml:space="preserve">The </w:t>
      </w:r>
      <w:r w:rsidR="00E67169" w:rsidRPr="0090705A">
        <w:rPr>
          <w:rFonts w:ascii="Century Gothic" w:hAnsi="Century Gothic" w:cs="Aparajita"/>
          <w:color w:val="auto"/>
          <w:sz w:val="20"/>
          <w:szCs w:val="20"/>
        </w:rPr>
        <w:t>S</w:t>
      </w:r>
      <w:r w:rsidR="002167CB">
        <w:rPr>
          <w:rFonts w:ascii="Century Gothic" w:hAnsi="Century Gothic" w:cs="Aparajita"/>
          <w:color w:val="auto"/>
          <w:sz w:val="20"/>
          <w:szCs w:val="20"/>
        </w:rPr>
        <w:t xml:space="preserve">ub-Work Group’s </w:t>
      </w:r>
      <w:r w:rsidR="00B848AB" w:rsidRPr="0090705A">
        <w:rPr>
          <w:rFonts w:ascii="Century Gothic" w:hAnsi="Century Gothic" w:cs="Aparajita"/>
          <w:color w:val="auto"/>
          <w:sz w:val="20"/>
          <w:szCs w:val="20"/>
        </w:rPr>
        <w:t>Project Initiation Document</w:t>
      </w:r>
      <w:r w:rsidR="00E67169" w:rsidRPr="0090705A">
        <w:rPr>
          <w:rFonts w:ascii="Century Gothic" w:hAnsi="Century Gothic" w:cs="Aparajita"/>
          <w:color w:val="auto"/>
          <w:sz w:val="20"/>
          <w:szCs w:val="20"/>
        </w:rPr>
        <w:t xml:space="preserve"> (PID) </w:t>
      </w:r>
      <w:r w:rsidRPr="0090705A">
        <w:rPr>
          <w:rFonts w:ascii="Century Gothic" w:hAnsi="Century Gothic" w:cs="Aparajita"/>
          <w:color w:val="auto"/>
          <w:sz w:val="20"/>
          <w:szCs w:val="20"/>
        </w:rPr>
        <w:t xml:space="preserve">lists </w:t>
      </w:r>
      <w:r w:rsidR="0032748B">
        <w:rPr>
          <w:rFonts w:ascii="Century Gothic" w:hAnsi="Century Gothic" w:cs="Aparajita"/>
          <w:color w:val="auto"/>
          <w:sz w:val="20"/>
          <w:szCs w:val="20"/>
        </w:rPr>
        <w:t>four (</w:t>
      </w:r>
      <w:r w:rsidR="00D02439">
        <w:rPr>
          <w:rFonts w:ascii="Century Gothic" w:hAnsi="Century Gothic" w:cs="Aparajita"/>
          <w:color w:val="auto"/>
          <w:sz w:val="20"/>
          <w:szCs w:val="20"/>
        </w:rPr>
        <w:t>4</w:t>
      </w:r>
      <w:r w:rsidR="0032748B">
        <w:rPr>
          <w:rFonts w:ascii="Century Gothic" w:hAnsi="Century Gothic" w:cs="Aparajita"/>
          <w:color w:val="auto"/>
          <w:sz w:val="20"/>
          <w:szCs w:val="20"/>
        </w:rPr>
        <w:t>)</w:t>
      </w:r>
      <w:r w:rsidR="00D02439">
        <w:rPr>
          <w:rFonts w:ascii="Century Gothic" w:hAnsi="Century Gothic" w:cs="Aparajita"/>
          <w:color w:val="auto"/>
          <w:sz w:val="20"/>
          <w:szCs w:val="20"/>
        </w:rPr>
        <w:t xml:space="preserve"> </w:t>
      </w:r>
      <w:r w:rsidR="00E67169" w:rsidRPr="0090705A">
        <w:rPr>
          <w:rFonts w:ascii="Century Gothic" w:hAnsi="Century Gothic" w:cs="Aparajita"/>
          <w:color w:val="auto"/>
          <w:sz w:val="20"/>
          <w:szCs w:val="20"/>
        </w:rPr>
        <w:t>deliverables</w:t>
      </w:r>
      <w:r w:rsidR="00E67169" w:rsidRPr="0090705A">
        <w:rPr>
          <w:rFonts w:ascii="Century Gothic" w:hAnsi="Century Gothic" w:cs="Aparajita"/>
          <w:sz w:val="20"/>
          <w:szCs w:val="20"/>
        </w:rPr>
        <w:t xml:space="preserve"> (refer to the table below)</w:t>
      </w:r>
      <w:r w:rsidR="00E67169" w:rsidRPr="0090705A">
        <w:rPr>
          <w:rFonts w:ascii="Century Gothic" w:hAnsi="Century Gothic" w:cs="Aparajita"/>
          <w:color w:val="auto"/>
          <w:sz w:val="20"/>
          <w:szCs w:val="20"/>
        </w:rPr>
        <w:t xml:space="preserve">. </w:t>
      </w:r>
      <w:r w:rsidR="00E67169" w:rsidRPr="0090705A">
        <w:rPr>
          <w:rFonts w:ascii="Century Gothic" w:hAnsi="Century Gothic" w:cs="Aparajita"/>
          <w:color w:val="000000" w:themeColor="text1"/>
          <w:sz w:val="20"/>
          <w:szCs w:val="20"/>
        </w:rPr>
        <w:t>This</w:t>
      </w:r>
      <w:r w:rsidR="0032748B">
        <w:rPr>
          <w:rFonts w:ascii="Century Gothic" w:hAnsi="Century Gothic" w:cs="Aparajita"/>
          <w:color w:val="000000" w:themeColor="text1"/>
          <w:sz w:val="20"/>
          <w:szCs w:val="20"/>
        </w:rPr>
        <w:t xml:space="preserve"> report </w:t>
      </w:r>
      <w:r w:rsidR="00E67169" w:rsidRPr="0090705A">
        <w:rPr>
          <w:rFonts w:ascii="Century Gothic" w:hAnsi="Century Gothic" w:cs="Aparajita"/>
          <w:color w:val="000000" w:themeColor="text1"/>
          <w:sz w:val="20"/>
          <w:szCs w:val="20"/>
        </w:rPr>
        <w:t xml:space="preserve">refers to Deliverable </w:t>
      </w:r>
      <w:r w:rsidR="009A2064">
        <w:rPr>
          <w:rFonts w:ascii="Century Gothic" w:hAnsi="Century Gothic" w:cs="Aparajita"/>
          <w:color w:val="000000" w:themeColor="text1"/>
          <w:sz w:val="20"/>
          <w:szCs w:val="20"/>
        </w:rPr>
        <w:t>3</w:t>
      </w:r>
      <w:r w:rsidR="00E67169" w:rsidRPr="0090705A">
        <w:rPr>
          <w:rFonts w:ascii="Century Gothic" w:hAnsi="Century Gothic" w:cs="Aparajita"/>
          <w:color w:val="000000" w:themeColor="text1"/>
          <w:sz w:val="20"/>
          <w:szCs w:val="20"/>
        </w:rPr>
        <w:t xml:space="preserve">: </w:t>
      </w:r>
      <w:r w:rsidR="009A2064">
        <w:rPr>
          <w:rFonts w:ascii="Century Gothic" w:hAnsi="Century Gothic" w:cs="Aparajita"/>
          <w:i/>
          <w:color w:val="000000" w:themeColor="text1"/>
          <w:sz w:val="20"/>
          <w:szCs w:val="20"/>
        </w:rPr>
        <w:t xml:space="preserve">Support to the Western Cape Municipalities with the integration of their </w:t>
      </w:r>
      <w:r w:rsidR="00E67169" w:rsidRPr="00C37415">
        <w:rPr>
          <w:rFonts w:ascii="Century Gothic" w:hAnsi="Century Gothic" w:cs="Aparajita"/>
          <w:i/>
          <w:color w:val="000000" w:themeColor="text1"/>
          <w:sz w:val="20"/>
          <w:szCs w:val="20"/>
        </w:rPr>
        <w:t>Integrated Human Settlement Plans, Infrastructure and Growth Plans, Waste Infrastructure Planning, and Integrated Transport Plans into Municipal Spatial Development Frameworks</w:t>
      </w:r>
      <w:r w:rsidR="009A2064">
        <w:rPr>
          <w:rFonts w:ascii="Century Gothic" w:hAnsi="Century Gothic" w:cs="Aparajita"/>
          <w:i/>
          <w:color w:val="000000" w:themeColor="text1"/>
          <w:sz w:val="20"/>
          <w:szCs w:val="20"/>
        </w:rPr>
        <w:t>, and to improve the substantive content of all of these plans</w:t>
      </w:r>
      <w:r w:rsidR="00E67169" w:rsidRPr="0090705A">
        <w:rPr>
          <w:rFonts w:ascii="Century Gothic" w:hAnsi="Century Gothic" w:cs="Aparajita"/>
          <w:color w:val="000000" w:themeColor="text1"/>
          <w:sz w:val="20"/>
          <w:szCs w:val="20"/>
        </w:rPr>
        <w:t>.</w:t>
      </w:r>
    </w:p>
    <w:p w:rsidR="000C697D" w:rsidRDefault="000C697D" w:rsidP="000C697D">
      <w:pPr>
        <w:pStyle w:val="Default"/>
        <w:spacing w:line="276" w:lineRule="auto"/>
        <w:jc w:val="both"/>
        <w:rPr>
          <w:rFonts w:ascii="Century Gothic" w:hAnsi="Century Gothic" w:cs="Aparajita"/>
          <w:color w:val="000000" w:themeColor="text1"/>
          <w:sz w:val="20"/>
          <w:szCs w:val="20"/>
        </w:rPr>
      </w:pPr>
    </w:p>
    <w:tbl>
      <w:tblPr>
        <w:tblStyle w:val="TableGrid"/>
        <w:tblW w:w="0" w:type="auto"/>
        <w:tblLook w:val="04A0" w:firstRow="1" w:lastRow="0" w:firstColumn="1" w:lastColumn="0" w:noHBand="0" w:noVBand="1"/>
      </w:tblPr>
      <w:tblGrid>
        <w:gridCol w:w="9242"/>
      </w:tblGrid>
      <w:tr w:rsidR="00B848AB" w:rsidRPr="00D02439" w:rsidTr="00E549E5">
        <w:tc>
          <w:tcPr>
            <w:tcW w:w="9242" w:type="dxa"/>
            <w:shd w:val="clear" w:color="auto" w:fill="auto"/>
          </w:tcPr>
          <w:p w:rsidR="00B848AB" w:rsidRPr="00D02439" w:rsidRDefault="008A08E2" w:rsidP="005F341D">
            <w:pPr>
              <w:pStyle w:val="Default"/>
              <w:spacing w:line="276" w:lineRule="auto"/>
              <w:jc w:val="both"/>
              <w:rPr>
                <w:rFonts w:ascii="Century Gothic" w:hAnsi="Century Gothic"/>
                <w:sz w:val="18"/>
                <w:szCs w:val="18"/>
              </w:rPr>
            </w:pPr>
            <w:r w:rsidRPr="00D02439">
              <w:rPr>
                <w:rFonts w:ascii="Century Gothic" w:hAnsi="Century Gothic"/>
                <w:b/>
                <w:sz w:val="18"/>
                <w:szCs w:val="18"/>
              </w:rPr>
              <w:t xml:space="preserve">Deliverable 1: </w:t>
            </w:r>
          </w:p>
          <w:p w:rsidR="00B848AB" w:rsidRPr="00D02439" w:rsidRDefault="005F341D" w:rsidP="005F341D">
            <w:pPr>
              <w:pStyle w:val="Default"/>
              <w:spacing w:line="276" w:lineRule="auto"/>
              <w:jc w:val="both"/>
              <w:rPr>
                <w:rFonts w:ascii="Century Gothic" w:hAnsi="Century Gothic"/>
                <w:sz w:val="18"/>
                <w:szCs w:val="18"/>
              </w:rPr>
            </w:pPr>
            <w:r w:rsidRPr="00D02439">
              <w:rPr>
                <w:rFonts w:ascii="Century Gothic" w:hAnsi="Century Gothic"/>
                <w:sz w:val="18"/>
                <w:szCs w:val="18"/>
              </w:rPr>
              <w:t>D</w:t>
            </w:r>
            <w:r w:rsidR="00A40FDA" w:rsidRPr="00D02439">
              <w:rPr>
                <w:rFonts w:ascii="Century Gothic" w:hAnsi="Century Gothic"/>
                <w:sz w:val="18"/>
                <w:szCs w:val="18"/>
              </w:rPr>
              <w:t>evelop a new Standard Operating Procedure (SOP) for the integration of Integrated Human Settlement Plans, Infrastructure and Growth Plans, Waste Infrastructure Planning, and Integrated Transport Plans into Municipal Spatial Development Frameworks.</w:t>
            </w:r>
          </w:p>
          <w:p w:rsidR="00B848AB" w:rsidRPr="00D02439" w:rsidRDefault="00B848AB" w:rsidP="00685B72">
            <w:pPr>
              <w:jc w:val="both"/>
              <w:rPr>
                <w:rFonts w:ascii="Century Gothic" w:hAnsi="Century Gothic" w:cs="Aparajita"/>
                <w:color w:val="000000" w:themeColor="text1"/>
                <w:sz w:val="18"/>
                <w:szCs w:val="18"/>
              </w:rPr>
            </w:pPr>
          </w:p>
        </w:tc>
      </w:tr>
      <w:tr w:rsidR="00B848AB" w:rsidRPr="00D02439" w:rsidTr="009A2064">
        <w:tc>
          <w:tcPr>
            <w:tcW w:w="9242" w:type="dxa"/>
            <w:shd w:val="clear" w:color="auto" w:fill="auto"/>
          </w:tcPr>
          <w:p w:rsidR="008A08E2" w:rsidRPr="00D02439" w:rsidRDefault="008A08E2" w:rsidP="005F341D">
            <w:pPr>
              <w:pStyle w:val="Default"/>
              <w:spacing w:line="276" w:lineRule="auto"/>
              <w:jc w:val="both"/>
              <w:rPr>
                <w:rFonts w:ascii="Century Gothic" w:hAnsi="Century Gothic"/>
                <w:sz w:val="18"/>
                <w:szCs w:val="18"/>
              </w:rPr>
            </w:pPr>
            <w:r w:rsidRPr="00D02439">
              <w:rPr>
                <w:rFonts w:ascii="Century Gothic" w:hAnsi="Century Gothic"/>
                <w:b/>
                <w:sz w:val="18"/>
                <w:szCs w:val="18"/>
              </w:rPr>
              <w:t>Deliverable 2:</w:t>
            </w:r>
          </w:p>
          <w:p w:rsidR="00A40FDA" w:rsidRPr="00D02439" w:rsidRDefault="00A40FDA" w:rsidP="005F341D">
            <w:pPr>
              <w:pStyle w:val="Default"/>
              <w:spacing w:line="276" w:lineRule="auto"/>
              <w:jc w:val="both"/>
              <w:rPr>
                <w:rFonts w:ascii="Century Gothic" w:hAnsi="Century Gothic"/>
                <w:sz w:val="18"/>
                <w:szCs w:val="18"/>
              </w:rPr>
            </w:pPr>
            <w:r w:rsidRPr="00D02439">
              <w:rPr>
                <w:rFonts w:ascii="Century Gothic" w:hAnsi="Century Gothic"/>
                <w:sz w:val="18"/>
                <w:szCs w:val="18"/>
              </w:rPr>
              <w:t>Develop a guideline on improving the integration and substantive content of Integrated Human Settlement Plans, Infrastructure and Growth Plans, Waste Infrastructure Planning, and Integrated Transport Plans, and Municipal Spatial Development Frameworks.</w:t>
            </w:r>
          </w:p>
          <w:p w:rsidR="00B848AB" w:rsidRPr="00D02439" w:rsidRDefault="00B848AB" w:rsidP="00A40FDA">
            <w:pPr>
              <w:pStyle w:val="Default"/>
              <w:spacing w:line="276" w:lineRule="auto"/>
              <w:jc w:val="both"/>
              <w:rPr>
                <w:rFonts w:ascii="Century Gothic" w:hAnsi="Century Gothic" w:cs="Aparajita"/>
                <w:color w:val="000000" w:themeColor="text1"/>
                <w:sz w:val="18"/>
                <w:szCs w:val="18"/>
              </w:rPr>
            </w:pPr>
          </w:p>
        </w:tc>
      </w:tr>
      <w:tr w:rsidR="00B848AB" w:rsidRPr="00D02439" w:rsidTr="009A2064">
        <w:tc>
          <w:tcPr>
            <w:tcW w:w="9242" w:type="dxa"/>
            <w:shd w:val="clear" w:color="auto" w:fill="F2DBDB" w:themeFill="accent2" w:themeFillTint="33"/>
          </w:tcPr>
          <w:p w:rsidR="00B848AB" w:rsidRPr="00D02439" w:rsidRDefault="00A40FDA" w:rsidP="005F341D">
            <w:pPr>
              <w:pStyle w:val="Default"/>
              <w:spacing w:line="276" w:lineRule="auto"/>
              <w:jc w:val="both"/>
              <w:rPr>
                <w:rFonts w:ascii="Century Gothic" w:hAnsi="Century Gothic"/>
                <w:sz w:val="18"/>
                <w:szCs w:val="18"/>
              </w:rPr>
            </w:pPr>
            <w:r w:rsidRPr="00D02439">
              <w:rPr>
                <w:rFonts w:ascii="Century Gothic" w:hAnsi="Century Gothic"/>
                <w:b/>
                <w:sz w:val="18"/>
                <w:szCs w:val="18"/>
              </w:rPr>
              <w:t>Deliverable 3:</w:t>
            </w:r>
          </w:p>
          <w:p w:rsidR="00A40FDA" w:rsidRPr="00D02439" w:rsidRDefault="00A40FDA" w:rsidP="005F341D">
            <w:pPr>
              <w:pStyle w:val="Default"/>
              <w:spacing w:line="276" w:lineRule="auto"/>
              <w:jc w:val="both"/>
              <w:rPr>
                <w:rFonts w:ascii="Century Gothic" w:hAnsi="Century Gothic"/>
                <w:sz w:val="18"/>
                <w:szCs w:val="18"/>
              </w:rPr>
            </w:pPr>
            <w:r w:rsidRPr="00D02439">
              <w:rPr>
                <w:rFonts w:ascii="Century Gothic" w:hAnsi="Century Gothic"/>
                <w:sz w:val="18"/>
                <w:szCs w:val="18"/>
              </w:rPr>
              <w:t xml:space="preserve">Support to the Western Cape Municipalities with the integration of their Integrated Human Settlement Plans, Infrastructure and Growth Plans, Waste Infrastructure Planning, and Integrated Transport Plans into Municipal Spatial Development Frameworks, and to improve the substantive content of all of these plans. </w:t>
            </w:r>
          </w:p>
          <w:p w:rsidR="00A40FDA" w:rsidRPr="00D02439" w:rsidRDefault="00A40FDA" w:rsidP="00D02439">
            <w:pPr>
              <w:jc w:val="both"/>
              <w:rPr>
                <w:rFonts w:ascii="Century Gothic" w:hAnsi="Century Gothic" w:cs="Aparajita"/>
                <w:color w:val="000000" w:themeColor="text1"/>
                <w:sz w:val="18"/>
                <w:szCs w:val="18"/>
              </w:rPr>
            </w:pPr>
          </w:p>
        </w:tc>
      </w:tr>
      <w:tr w:rsidR="00B848AB" w:rsidRPr="00D02439" w:rsidTr="00685B72">
        <w:tc>
          <w:tcPr>
            <w:tcW w:w="9242" w:type="dxa"/>
          </w:tcPr>
          <w:p w:rsidR="00B848AB" w:rsidRPr="00D02439" w:rsidRDefault="00A40FDA" w:rsidP="005F341D">
            <w:pPr>
              <w:pStyle w:val="Default"/>
              <w:spacing w:line="276" w:lineRule="auto"/>
              <w:jc w:val="both"/>
              <w:rPr>
                <w:rFonts w:ascii="Century Gothic" w:hAnsi="Century Gothic"/>
                <w:sz w:val="18"/>
                <w:szCs w:val="18"/>
              </w:rPr>
            </w:pPr>
            <w:r w:rsidRPr="00D02439">
              <w:rPr>
                <w:rFonts w:ascii="Century Gothic" w:hAnsi="Century Gothic"/>
                <w:b/>
                <w:sz w:val="18"/>
                <w:szCs w:val="18"/>
              </w:rPr>
              <w:t xml:space="preserve">Deliverable 4: </w:t>
            </w:r>
          </w:p>
          <w:p w:rsidR="00A40FDA" w:rsidRPr="00D02439" w:rsidRDefault="005F341D" w:rsidP="005F341D">
            <w:pPr>
              <w:pStyle w:val="Default"/>
              <w:spacing w:line="276" w:lineRule="auto"/>
              <w:jc w:val="both"/>
              <w:rPr>
                <w:rFonts w:ascii="Century Gothic" w:hAnsi="Century Gothic"/>
                <w:sz w:val="18"/>
                <w:szCs w:val="18"/>
              </w:rPr>
            </w:pPr>
            <w:r w:rsidRPr="00D02439">
              <w:rPr>
                <w:rFonts w:ascii="Century Gothic" w:hAnsi="Century Gothic"/>
                <w:sz w:val="18"/>
                <w:szCs w:val="18"/>
              </w:rPr>
              <w:t>R</w:t>
            </w:r>
            <w:r w:rsidR="00A40FDA" w:rsidRPr="00D02439">
              <w:rPr>
                <w:rFonts w:ascii="Century Gothic" w:hAnsi="Century Gothic"/>
                <w:sz w:val="18"/>
                <w:szCs w:val="18"/>
              </w:rPr>
              <w:t>eviewing the Spatial Development and I</w:t>
            </w:r>
            <w:r w:rsidRPr="00D02439">
              <w:rPr>
                <w:rFonts w:ascii="Century Gothic" w:hAnsi="Century Gothic"/>
                <w:sz w:val="18"/>
                <w:szCs w:val="18"/>
              </w:rPr>
              <w:t>nfrastructure Support Strategy a</w:t>
            </w:r>
            <w:r w:rsidR="00A40FDA" w:rsidRPr="00D02439">
              <w:rPr>
                <w:rFonts w:ascii="Century Gothic" w:hAnsi="Century Gothic"/>
                <w:sz w:val="18"/>
                <w:szCs w:val="18"/>
              </w:rPr>
              <w:t xml:space="preserve">nnually. </w:t>
            </w:r>
          </w:p>
          <w:p w:rsidR="00B848AB" w:rsidRPr="00D02439" w:rsidRDefault="00B848AB" w:rsidP="00D02439">
            <w:pPr>
              <w:pStyle w:val="Default"/>
              <w:spacing w:line="276" w:lineRule="auto"/>
              <w:jc w:val="both"/>
              <w:rPr>
                <w:rFonts w:ascii="Century Gothic" w:hAnsi="Century Gothic" w:cs="Aparajita"/>
                <w:color w:val="000000" w:themeColor="text1"/>
                <w:sz w:val="18"/>
                <w:szCs w:val="18"/>
              </w:rPr>
            </w:pPr>
          </w:p>
        </w:tc>
      </w:tr>
    </w:tbl>
    <w:p w:rsidR="0029592D" w:rsidRDefault="0029592D" w:rsidP="00DA3A37">
      <w:pPr>
        <w:jc w:val="both"/>
        <w:rPr>
          <w:rFonts w:ascii="Century Gothic" w:hAnsi="Century Gothic" w:cs="Aparajita"/>
          <w:color w:val="000000" w:themeColor="text1"/>
          <w:sz w:val="20"/>
          <w:szCs w:val="20"/>
        </w:rPr>
      </w:pPr>
    </w:p>
    <w:p w:rsidR="00E666E0" w:rsidRPr="00405F06" w:rsidRDefault="00E32990" w:rsidP="00E666E0">
      <w:pPr>
        <w:pStyle w:val="ListParagraph"/>
        <w:numPr>
          <w:ilvl w:val="0"/>
          <w:numId w:val="3"/>
        </w:numPr>
        <w:jc w:val="both"/>
        <w:rPr>
          <w:rFonts w:ascii="Century Gothic" w:hAnsi="Century Gothic" w:cs="Aparajita"/>
          <w:b/>
          <w:sz w:val="20"/>
          <w:szCs w:val="20"/>
        </w:rPr>
      </w:pPr>
      <w:r>
        <w:rPr>
          <w:rFonts w:ascii="Century Gothic" w:hAnsi="Century Gothic" w:cs="Aparajita"/>
          <w:b/>
          <w:sz w:val="20"/>
          <w:szCs w:val="20"/>
        </w:rPr>
        <w:t>PREVIOUS DELIVERABLES</w:t>
      </w:r>
    </w:p>
    <w:p w:rsidR="007B4D92" w:rsidRPr="004B006B" w:rsidRDefault="00405F06" w:rsidP="007B4D92">
      <w:pPr>
        <w:pStyle w:val="Default"/>
        <w:spacing w:line="276" w:lineRule="auto"/>
        <w:jc w:val="both"/>
        <w:rPr>
          <w:rFonts w:ascii="Century Gothic" w:hAnsi="Century Gothic" w:cs="Aparajita"/>
          <w:i/>
          <w:color w:val="auto"/>
          <w:sz w:val="20"/>
          <w:szCs w:val="20"/>
        </w:rPr>
      </w:pPr>
      <w:r w:rsidRPr="00405F06">
        <w:rPr>
          <w:rFonts w:ascii="Century Gothic" w:hAnsi="Century Gothic" w:cs="Aparajita"/>
          <w:color w:val="auto"/>
          <w:sz w:val="20"/>
          <w:szCs w:val="20"/>
        </w:rPr>
        <w:t xml:space="preserve">This report </w:t>
      </w:r>
      <w:r w:rsidR="007061F0" w:rsidRPr="00405F06">
        <w:rPr>
          <w:rFonts w:ascii="Century Gothic" w:hAnsi="Century Gothic" w:cs="Aparajita"/>
          <w:color w:val="auto"/>
          <w:sz w:val="20"/>
          <w:szCs w:val="20"/>
        </w:rPr>
        <w:t>builds on</w:t>
      </w:r>
      <w:r w:rsidRPr="00405F06">
        <w:rPr>
          <w:rFonts w:ascii="Century Gothic" w:hAnsi="Century Gothic" w:cs="Aparajita"/>
          <w:color w:val="auto"/>
          <w:sz w:val="20"/>
          <w:szCs w:val="20"/>
        </w:rPr>
        <w:t xml:space="preserve"> the outcomes of Deliverable 1 (</w:t>
      </w:r>
      <w:r w:rsidR="007061F0" w:rsidRPr="00405F06">
        <w:rPr>
          <w:rFonts w:ascii="Century Gothic" w:hAnsi="Century Gothic" w:cs="Aparajita"/>
          <w:i/>
          <w:color w:val="auto"/>
          <w:sz w:val="20"/>
          <w:szCs w:val="20"/>
        </w:rPr>
        <w:t>Develop a new Standard Operating Procedure (SOP) for the integration of Integrated Human Settlement Plans, Infrastructure and Growth Plans, Waste Infrastructure Planning, and Integrated Transport Plans into Municipal Spatial Development Frameworks</w:t>
      </w:r>
      <w:r w:rsidRPr="00405F06">
        <w:rPr>
          <w:rFonts w:ascii="Century Gothic" w:hAnsi="Century Gothic" w:cs="Aparajita"/>
          <w:i/>
          <w:color w:val="auto"/>
          <w:sz w:val="20"/>
          <w:szCs w:val="20"/>
        </w:rPr>
        <w:t xml:space="preserve">) </w:t>
      </w:r>
      <w:r w:rsidRPr="00405F06">
        <w:rPr>
          <w:rFonts w:ascii="Century Gothic" w:hAnsi="Century Gothic" w:cs="Aparajita"/>
          <w:color w:val="auto"/>
          <w:sz w:val="20"/>
          <w:szCs w:val="20"/>
        </w:rPr>
        <w:t>and Deliverable 2</w:t>
      </w:r>
      <w:r w:rsidRPr="00405F06">
        <w:rPr>
          <w:rFonts w:ascii="Century Gothic" w:hAnsi="Century Gothic" w:cs="Aparajita"/>
          <w:i/>
          <w:color w:val="auto"/>
          <w:sz w:val="20"/>
          <w:szCs w:val="20"/>
        </w:rPr>
        <w:t xml:space="preserve"> (Develop a guideline on improving the </w:t>
      </w:r>
      <w:r w:rsidRPr="004B006B">
        <w:rPr>
          <w:rFonts w:ascii="Century Gothic" w:hAnsi="Century Gothic" w:cs="Aparajita"/>
          <w:i/>
          <w:color w:val="auto"/>
          <w:sz w:val="20"/>
          <w:szCs w:val="20"/>
        </w:rPr>
        <w:t>integration and substantive content of Integrated Human Settlement Plans, Infrastructure and Growth Plans, Waste Infrastructure Planning, and Integrated Transport Plans, and Municipal Spatial Development Frameworks.</w:t>
      </w:r>
    </w:p>
    <w:p w:rsidR="007B4D92" w:rsidRPr="004B006B" w:rsidRDefault="007B4D92" w:rsidP="007B4D92">
      <w:pPr>
        <w:pStyle w:val="Default"/>
        <w:spacing w:line="276" w:lineRule="auto"/>
        <w:jc w:val="both"/>
        <w:rPr>
          <w:rFonts w:ascii="Century Gothic" w:hAnsi="Century Gothic"/>
          <w:color w:val="auto"/>
          <w:sz w:val="18"/>
          <w:szCs w:val="18"/>
        </w:rPr>
      </w:pPr>
    </w:p>
    <w:p w:rsidR="007061F0" w:rsidRPr="004B006B" w:rsidRDefault="007B4D92" w:rsidP="007061F0">
      <w:pPr>
        <w:jc w:val="both"/>
        <w:rPr>
          <w:rFonts w:ascii="Century Gothic" w:hAnsi="Century Gothic" w:cs="Aparajita"/>
          <w:sz w:val="20"/>
          <w:szCs w:val="20"/>
        </w:rPr>
      </w:pPr>
      <w:r w:rsidRPr="004B006B">
        <w:rPr>
          <w:rFonts w:ascii="Century Gothic" w:hAnsi="Century Gothic" w:cs="Aparajita"/>
          <w:sz w:val="20"/>
          <w:szCs w:val="20"/>
        </w:rPr>
        <w:t>The approach adopted in Deliverable 1</w:t>
      </w:r>
      <w:r w:rsidR="007061F0" w:rsidRPr="004B006B">
        <w:rPr>
          <w:rFonts w:ascii="Century Gothic" w:hAnsi="Century Gothic" w:cs="Aparajita"/>
          <w:sz w:val="20"/>
          <w:szCs w:val="20"/>
        </w:rPr>
        <w:t xml:space="preserve"> included the creation of an IGR platform where representatives responsible for and/or involved in the drafting and/or amending the 5 sector plans listed above come together and discuss any area of conflict, duplication and/or opportunities for synergy. The IGR platform, which was termed the Intergovernmental Planning Committee (IPC), has two key but interlinking functions. </w:t>
      </w:r>
    </w:p>
    <w:p w:rsidR="005274C6" w:rsidRPr="004B006B" w:rsidRDefault="005274C6" w:rsidP="00565CF9">
      <w:pPr>
        <w:jc w:val="both"/>
        <w:rPr>
          <w:rFonts w:ascii="Century Gothic" w:hAnsi="Century Gothic" w:cs="Aparajita"/>
          <w:sz w:val="20"/>
          <w:szCs w:val="20"/>
        </w:rPr>
      </w:pPr>
      <w:r w:rsidRPr="004B006B">
        <w:rPr>
          <w:rFonts w:ascii="Century Gothic" w:hAnsi="Century Gothic" w:cs="Aparajita"/>
          <w:sz w:val="20"/>
          <w:szCs w:val="20"/>
        </w:rPr>
        <w:lastRenderedPageBreak/>
        <w:t xml:space="preserve">The first would be to ensure that the relevant officials in each sector are aware of and party to any proposed changes to the </w:t>
      </w:r>
      <w:r w:rsidR="003B510D" w:rsidRPr="004B006B">
        <w:rPr>
          <w:rFonts w:ascii="Century Gothic" w:hAnsi="Century Gothic" w:cs="Aparajita"/>
          <w:sz w:val="20"/>
          <w:szCs w:val="20"/>
        </w:rPr>
        <w:t xml:space="preserve">5 </w:t>
      </w:r>
      <w:r w:rsidRPr="004B006B">
        <w:rPr>
          <w:rFonts w:ascii="Century Gothic" w:hAnsi="Century Gothic" w:cs="Aparajita"/>
          <w:sz w:val="20"/>
          <w:szCs w:val="20"/>
        </w:rPr>
        <w:t>sector plans</w:t>
      </w:r>
      <w:r w:rsidR="003B510D" w:rsidRPr="004B006B">
        <w:rPr>
          <w:rFonts w:ascii="Century Gothic" w:hAnsi="Century Gothic" w:cs="Aparajita"/>
          <w:sz w:val="20"/>
          <w:szCs w:val="20"/>
        </w:rPr>
        <w:t xml:space="preserve"> mentioned above</w:t>
      </w:r>
      <w:r w:rsidRPr="004B006B">
        <w:rPr>
          <w:rFonts w:ascii="Century Gothic" w:hAnsi="Century Gothic" w:cs="Aparajita"/>
          <w:sz w:val="20"/>
          <w:szCs w:val="20"/>
        </w:rPr>
        <w:t>. Through this awareness of and participation in the changing sector plans any are</w:t>
      </w:r>
      <w:r w:rsidR="003B510D" w:rsidRPr="004B006B">
        <w:rPr>
          <w:rFonts w:ascii="Century Gothic" w:hAnsi="Century Gothic" w:cs="Aparajita"/>
          <w:sz w:val="20"/>
          <w:szCs w:val="20"/>
        </w:rPr>
        <w:t xml:space="preserve">a of conflict, duplication, and/or opportunities for synergy </w:t>
      </w:r>
      <w:r w:rsidRPr="004B006B">
        <w:rPr>
          <w:rFonts w:ascii="Century Gothic" w:hAnsi="Century Gothic" w:cs="Aparajita"/>
          <w:sz w:val="20"/>
          <w:szCs w:val="20"/>
        </w:rPr>
        <w:t xml:space="preserve">with the other sector plans can be easily identified. </w:t>
      </w:r>
    </w:p>
    <w:p w:rsidR="001C0A96" w:rsidRPr="004B006B" w:rsidRDefault="005274C6" w:rsidP="00565CF9">
      <w:pPr>
        <w:jc w:val="both"/>
        <w:rPr>
          <w:rFonts w:ascii="Century Gothic" w:hAnsi="Century Gothic" w:cs="Aparajita"/>
          <w:sz w:val="20"/>
          <w:szCs w:val="20"/>
        </w:rPr>
      </w:pPr>
      <w:r w:rsidRPr="004B006B">
        <w:rPr>
          <w:rFonts w:ascii="Century Gothic" w:hAnsi="Century Gothic" w:cs="Aparajita"/>
          <w:sz w:val="20"/>
          <w:szCs w:val="20"/>
        </w:rPr>
        <w:t>The second role is to build on the areas of opportunity, remove areas of duplication, and resolve areas of conflict. This will occur through focused</w:t>
      </w:r>
      <w:r w:rsidR="003B510D" w:rsidRPr="004B006B">
        <w:rPr>
          <w:rFonts w:ascii="Century Gothic" w:hAnsi="Century Gothic" w:cs="Aparajita"/>
          <w:sz w:val="20"/>
          <w:szCs w:val="20"/>
        </w:rPr>
        <w:t xml:space="preserve"> discussion which includes all re</w:t>
      </w:r>
      <w:r w:rsidRPr="004B006B">
        <w:rPr>
          <w:rFonts w:ascii="Century Gothic" w:hAnsi="Century Gothic" w:cs="Aparajita"/>
          <w:sz w:val="20"/>
          <w:szCs w:val="20"/>
        </w:rPr>
        <w:t>levant officials with a</w:t>
      </w:r>
      <w:r w:rsidR="003B510D" w:rsidRPr="004B006B">
        <w:rPr>
          <w:rFonts w:ascii="Century Gothic" w:hAnsi="Century Gothic" w:cs="Aparajita"/>
          <w:sz w:val="20"/>
          <w:szCs w:val="20"/>
        </w:rPr>
        <w:t xml:space="preserve"> keen </w:t>
      </w:r>
      <w:r w:rsidRPr="004B006B">
        <w:rPr>
          <w:rFonts w:ascii="Century Gothic" w:hAnsi="Century Gothic" w:cs="Aparajita"/>
          <w:sz w:val="20"/>
          <w:szCs w:val="20"/>
        </w:rPr>
        <w:t xml:space="preserve">understanding of the </w:t>
      </w:r>
      <w:r w:rsidR="003B510D" w:rsidRPr="004B006B">
        <w:rPr>
          <w:rFonts w:ascii="Century Gothic" w:hAnsi="Century Gothic" w:cs="Aparajita"/>
          <w:sz w:val="20"/>
          <w:szCs w:val="20"/>
        </w:rPr>
        <w:t>geographical area in question.</w:t>
      </w:r>
      <w:r w:rsidRPr="004B006B">
        <w:rPr>
          <w:rFonts w:ascii="Century Gothic" w:hAnsi="Century Gothic" w:cs="Aparajita"/>
          <w:sz w:val="20"/>
          <w:szCs w:val="20"/>
        </w:rPr>
        <w:t xml:space="preserve"> The outcome of th</w:t>
      </w:r>
      <w:r w:rsidR="003B510D" w:rsidRPr="004B006B">
        <w:rPr>
          <w:rFonts w:ascii="Century Gothic" w:hAnsi="Century Gothic" w:cs="Aparajita"/>
          <w:sz w:val="20"/>
          <w:szCs w:val="20"/>
        </w:rPr>
        <w:t>e</w:t>
      </w:r>
      <w:r w:rsidRPr="004B006B">
        <w:rPr>
          <w:rFonts w:ascii="Century Gothic" w:hAnsi="Century Gothic" w:cs="Aparajita"/>
          <w:sz w:val="20"/>
          <w:szCs w:val="20"/>
        </w:rPr>
        <w:t>s</w:t>
      </w:r>
      <w:r w:rsidR="003B510D" w:rsidRPr="004B006B">
        <w:rPr>
          <w:rFonts w:ascii="Century Gothic" w:hAnsi="Century Gothic" w:cs="Aparajita"/>
          <w:sz w:val="20"/>
          <w:szCs w:val="20"/>
        </w:rPr>
        <w:t>e</w:t>
      </w:r>
      <w:r w:rsidRPr="004B006B">
        <w:rPr>
          <w:rFonts w:ascii="Century Gothic" w:hAnsi="Century Gothic" w:cs="Aparajita"/>
          <w:sz w:val="20"/>
          <w:szCs w:val="20"/>
        </w:rPr>
        <w:t xml:space="preserve"> </w:t>
      </w:r>
      <w:r w:rsidR="003B510D" w:rsidRPr="004B006B">
        <w:rPr>
          <w:rFonts w:ascii="Century Gothic" w:hAnsi="Century Gothic" w:cs="Aparajita"/>
          <w:sz w:val="20"/>
          <w:szCs w:val="20"/>
        </w:rPr>
        <w:t xml:space="preserve">discussions will be </w:t>
      </w:r>
      <w:r w:rsidRPr="004B006B">
        <w:rPr>
          <w:rFonts w:ascii="Century Gothic" w:hAnsi="Century Gothic" w:cs="Aparajita"/>
          <w:sz w:val="20"/>
          <w:szCs w:val="20"/>
        </w:rPr>
        <w:t>the</w:t>
      </w:r>
      <w:r w:rsidR="00F21045" w:rsidRPr="004B006B">
        <w:rPr>
          <w:rFonts w:ascii="Century Gothic" w:hAnsi="Century Gothic" w:cs="Aparajita"/>
          <w:sz w:val="20"/>
          <w:szCs w:val="20"/>
        </w:rPr>
        <w:t xml:space="preserve"> </w:t>
      </w:r>
      <w:r w:rsidRPr="004B006B">
        <w:rPr>
          <w:rFonts w:ascii="Century Gothic" w:hAnsi="Century Gothic" w:cs="Aparajita"/>
          <w:sz w:val="20"/>
          <w:szCs w:val="20"/>
        </w:rPr>
        <w:t>adop</w:t>
      </w:r>
      <w:r w:rsidR="00F21045" w:rsidRPr="004B006B">
        <w:rPr>
          <w:rFonts w:ascii="Century Gothic" w:hAnsi="Century Gothic" w:cs="Aparajita"/>
          <w:sz w:val="20"/>
          <w:szCs w:val="20"/>
        </w:rPr>
        <w:t>tion of a</w:t>
      </w:r>
      <w:r w:rsidR="003B510D" w:rsidRPr="004B006B">
        <w:rPr>
          <w:rFonts w:ascii="Century Gothic" w:hAnsi="Century Gothic" w:cs="Aparajita"/>
          <w:sz w:val="20"/>
          <w:szCs w:val="20"/>
        </w:rPr>
        <w:t xml:space="preserve">n </w:t>
      </w:r>
      <w:r w:rsidR="00F21045" w:rsidRPr="004B006B">
        <w:rPr>
          <w:rFonts w:ascii="Century Gothic" w:hAnsi="Century Gothic" w:cs="Aparajita"/>
          <w:sz w:val="20"/>
          <w:szCs w:val="20"/>
        </w:rPr>
        <w:t xml:space="preserve">agreed-to </w:t>
      </w:r>
      <w:r w:rsidR="003B510D" w:rsidRPr="004B006B">
        <w:rPr>
          <w:rFonts w:ascii="Century Gothic" w:hAnsi="Century Gothic" w:cs="Aparajita"/>
          <w:sz w:val="20"/>
          <w:szCs w:val="20"/>
        </w:rPr>
        <w:t xml:space="preserve">way forward which has been arrived at through negotiation and compromise. </w:t>
      </w:r>
    </w:p>
    <w:p w:rsidR="007B4D92" w:rsidRPr="001B573D" w:rsidRDefault="007B4D92" w:rsidP="00565CF9">
      <w:pPr>
        <w:jc w:val="both"/>
        <w:rPr>
          <w:rFonts w:ascii="Century Gothic" w:hAnsi="Century Gothic" w:cs="Aparajita"/>
          <w:sz w:val="20"/>
          <w:szCs w:val="20"/>
        </w:rPr>
      </w:pPr>
      <w:r w:rsidRPr="004B006B">
        <w:rPr>
          <w:rFonts w:ascii="Century Gothic" w:hAnsi="Century Gothic" w:cs="Aparajita"/>
          <w:sz w:val="20"/>
          <w:szCs w:val="20"/>
        </w:rPr>
        <w:t>Deliverable</w:t>
      </w:r>
      <w:r w:rsidR="004B006B" w:rsidRPr="004B006B">
        <w:rPr>
          <w:rFonts w:ascii="Century Gothic" w:hAnsi="Century Gothic" w:cs="Aparajita"/>
          <w:sz w:val="20"/>
          <w:szCs w:val="20"/>
        </w:rPr>
        <w:t xml:space="preserve"> 2 consisted of a </w:t>
      </w:r>
      <w:r w:rsidRPr="004B006B">
        <w:rPr>
          <w:rFonts w:ascii="Century Gothic" w:hAnsi="Century Gothic" w:cs="Aparajita"/>
          <w:sz w:val="20"/>
          <w:szCs w:val="20"/>
        </w:rPr>
        <w:t xml:space="preserve">Guideline which </w:t>
      </w:r>
      <w:r w:rsidR="004B006B" w:rsidRPr="004B006B">
        <w:rPr>
          <w:rFonts w:ascii="Century Gothic" w:hAnsi="Century Gothic" w:cs="Aparajita"/>
          <w:sz w:val="20"/>
          <w:szCs w:val="20"/>
        </w:rPr>
        <w:t xml:space="preserve">aimed to ensure the successful implementation of the adopted approach. The Guideline unpacked the roles and responsibilities of the IPC </w:t>
      </w:r>
      <w:r w:rsidR="004B006B" w:rsidRPr="001B573D">
        <w:rPr>
          <w:rFonts w:ascii="Century Gothic" w:hAnsi="Century Gothic" w:cs="Aparajita"/>
          <w:sz w:val="20"/>
          <w:szCs w:val="20"/>
        </w:rPr>
        <w:t xml:space="preserve">members as well as any sub-committee that may be established. It also provided the basis for a generic Terms of Reference for the IPC, and any potential sub-committee, which elaborates on the functions and composition. </w:t>
      </w:r>
    </w:p>
    <w:p w:rsidR="00415571" w:rsidRPr="001B573D" w:rsidRDefault="00D4496D" w:rsidP="00415571">
      <w:pPr>
        <w:pStyle w:val="ListParagraph"/>
        <w:numPr>
          <w:ilvl w:val="0"/>
          <w:numId w:val="3"/>
        </w:numPr>
        <w:jc w:val="both"/>
        <w:rPr>
          <w:rFonts w:ascii="Century Gothic" w:hAnsi="Century Gothic" w:cs="Aparajita"/>
          <w:b/>
          <w:sz w:val="20"/>
          <w:szCs w:val="20"/>
        </w:rPr>
      </w:pPr>
      <w:r w:rsidRPr="001B573D">
        <w:rPr>
          <w:rFonts w:ascii="Century Gothic" w:hAnsi="Century Gothic" w:cs="Aparajita"/>
          <w:b/>
          <w:sz w:val="20"/>
          <w:szCs w:val="20"/>
        </w:rPr>
        <w:t>MUNICIPAL SUPPORT</w:t>
      </w:r>
    </w:p>
    <w:p w:rsidR="00604770" w:rsidRDefault="00D4496D" w:rsidP="00337F74">
      <w:pPr>
        <w:jc w:val="both"/>
        <w:rPr>
          <w:rFonts w:ascii="Century Gothic" w:hAnsi="Century Gothic" w:cs="Aparajita"/>
          <w:sz w:val="20"/>
          <w:szCs w:val="20"/>
        </w:rPr>
      </w:pPr>
      <w:r w:rsidRPr="001B573D">
        <w:rPr>
          <w:rFonts w:ascii="Century Gothic" w:hAnsi="Century Gothic" w:cs="Aparajita"/>
          <w:sz w:val="20"/>
          <w:szCs w:val="20"/>
        </w:rPr>
        <w:t xml:space="preserve">Due to the strategic role </w:t>
      </w:r>
      <w:r w:rsidR="001B573D" w:rsidRPr="001B573D">
        <w:rPr>
          <w:rFonts w:ascii="Century Gothic" w:hAnsi="Century Gothic" w:cs="Aparajita"/>
          <w:sz w:val="20"/>
          <w:szCs w:val="20"/>
        </w:rPr>
        <w:t>the Integrated Development Plan, and more particularly the IDP Managers</w:t>
      </w:r>
      <w:r w:rsidR="000E0BEF">
        <w:rPr>
          <w:rFonts w:ascii="Century Gothic" w:hAnsi="Century Gothic" w:cs="Aparajita"/>
          <w:sz w:val="20"/>
          <w:szCs w:val="20"/>
        </w:rPr>
        <w:t>’</w:t>
      </w:r>
      <w:r w:rsidR="001B573D" w:rsidRPr="001B573D">
        <w:rPr>
          <w:rFonts w:ascii="Century Gothic" w:hAnsi="Century Gothic" w:cs="Aparajita"/>
          <w:sz w:val="20"/>
          <w:szCs w:val="20"/>
        </w:rPr>
        <w:t>, play in municipal planning and budgets the</w:t>
      </w:r>
      <w:r w:rsidR="000E0BEF">
        <w:rPr>
          <w:rFonts w:ascii="Century Gothic" w:hAnsi="Century Gothic" w:cs="Aparajita"/>
          <w:sz w:val="20"/>
          <w:szCs w:val="20"/>
        </w:rPr>
        <w:t xml:space="preserve"> IDP Managers’ </w:t>
      </w:r>
      <w:r w:rsidR="001B573D" w:rsidRPr="001B573D">
        <w:rPr>
          <w:rFonts w:ascii="Century Gothic" w:hAnsi="Century Gothic" w:cs="Aparajita"/>
          <w:sz w:val="20"/>
          <w:szCs w:val="20"/>
        </w:rPr>
        <w:t>were identified at an early stage as core member</w:t>
      </w:r>
      <w:r w:rsidR="00604770">
        <w:rPr>
          <w:rFonts w:ascii="Century Gothic" w:hAnsi="Century Gothic" w:cs="Aparajita"/>
          <w:sz w:val="20"/>
          <w:szCs w:val="20"/>
        </w:rPr>
        <w:t>s</w:t>
      </w:r>
      <w:r w:rsidR="001B573D" w:rsidRPr="001B573D">
        <w:rPr>
          <w:rFonts w:ascii="Century Gothic" w:hAnsi="Century Gothic" w:cs="Aparajita"/>
          <w:sz w:val="20"/>
          <w:szCs w:val="20"/>
        </w:rPr>
        <w:t xml:space="preserve"> of the IPC. It was therefore logical that the Sub-Work Group concluded that the best for</w:t>
      </w:r>
      <w:r w:rsidR="000E0BEF">
        <w:rPr>
          <w:rFonts w:ascii="Century Gothic" w:hAnsi="Century Gothic" w:cs="Aparajita"/>
          <w:sz w:val="20"/>
          <w:szCs w:val="20"/>
        </w:rPr>
        <w:t>u</w:t>
      </w:r>
      <w:r w:rsidR="001B573D" w:rsidRPr="001B573D">
        <w:rPr>
          <w:rFonts w:ascii="Century Gothic" w:hAnsi="Century Gothic" w:cs="Aparajita"/>
          <w:sz w:val="20"/>
          <w:szCs w:val="20"/>
        </w:rPr>
        <w:t xml:space="preserve">m through which the adopted approach should be workshopped would be the IDP Managers’ Forum. </w:t>
      </w:r>
    </w:p>
    <w:p w:rsidR="001B573D" w:rsidRDefault="001B573D" w:rsidP="00337F74">
      <w:pPr>
        <w:jc w:val="both"/>
        <w:rPr>
          <w:rFonts w:ascii="Century Gothic" w:hAnsi="Century Gothic" w:cs="Aparajita"/>
          <w:sz w:val="20"/>
          <w:szCs w:val="20"/>
        </w:rPr>
      </w:pPr>
      <w:r w:rsidRPr="001B573D">
        <w:rPr>
          <w:rFonts w:ascii="Century Gothic" w:hAnsi="Century Gothic" w:cs="Aparajita"/>
          <w:sz w:val="20"/>
          <w:szCs w:val="20"/>
        </w:rPr>
        <w:t xml:space="preserve">As such, the Spatial Development and Infrastructure Planning Support Strategy was placed on the agenda of the IDP Managers’ Forum meeting on 4 March 2016 however the presentation was </w:t>
      </w:r>
      <w:r w:rsidR="000E0BEF">
        <w:rPr>
          <w:rFonts w:ascii="Century Gothic" w:hAnsi="Century Gothic" w:cs="Aparajita"/>
          <w:sz w:val="20"/>
          <w:szCs w:val="20"/>
        </w:rPr>
        <w:t xml:space="preserve">removed from the agenda on the morning of the session. The Forum’s </w:t>
      </w:r>
      <w:r w:rsidRPr="001B573D">
        <w:rPr>
          <w:rFonts w:ascii="Century Gothic" w:hAnsi="Century Gothic" w:cs="Aparajita"/>
          <w:sz w:val="20"/>
          <w:szCs w:val="20"/>
        </w:rPr>
        <w:t xml:space="preserve">Chair </w:t>
      </w:r>
      <w:r w:rsidR="000E0BEF">
        <w:rPr>
          <w:rFonts w:ascii="Century Gothic" w:hAnsi="Century Gothic" w:cs="Aparajita"/>
          <w:sz w:val="20"/>
          <w:szCs w:val="20"/>
        </w:rPr>
        <w:t xml:space="preserve">concluded </w:t>
      </w:r>
      <w:r w:rsidRPr="001B573D">
        <w:rPr>
          <w:rFonts w:ascii="Century Gothic" w:hAnsi="Century Gothic" w:cs="Aparajita"/>
          <w:sz w:val="20"/>
          <w:szCs w:val="20"/>
        </w:rPr>
        <w:t xml:space="preserve">that the subject matter should </w:t>
      </w:r>
      <w:r w:rsidR="00337F74">
        <w:rPr>
          <w:rFonts w:ascii="Century Gothic" w:hAnsi="Century Gothic" w:cs="Aparajita"/>
          <w:sz w:val="20"/>
          <w:szCs w:val="20"/>
        </w:rPr>
        <w:t xml:space="preserve">first </w:t>
      </w:r>
      <w:r w:rsidRPr="001B573D">
        <w:rPr>
          <w:rFonts w:ascii="Century Gothic" w:hAnsi="Century Gothic" w:cs="Aparajita"/>
          <w:sz w:val="20"/>
          <w:szCs w:val="20"/>
        </w:rPr>
        <w:t>be workshopped with Provincial Strategic Goal 5</w:t>
      </w:r>
      <w:r w:rsidR="00337F74">
        <w:rPr>
          <w:rFonts w:ascii="Century Gothic" w:hAnsi="Century Gothic" w:cs="Aparajita"/>
          <w:sz w:val="20"/>
          <w:szCs w:val="20"/>
        </w:rPr>
        <w:t xml:space="preserve">: </w:t>
      </w:r>
      <w:r w:rsidR="00337F74" w:rsidRPr="00337F74">
        <w:rPr>
          <w:rFonts w:ascii="Century Gothic" w:hAnsi="Century Gothic" w:cs="Aparajita"/>
          <w:i/>
          <w:sz w:val="20"/>
          <w:szCs w:val="20"/>
        </w:rPr>
        <w:t>Embed good governance and integrated service delivery through partnerships and spatial alignment</w:t>
      </w:r>
      <w:r w:rsidRPr="001B573D">
        <w:rPr>
          <w:rFonts w:ascii="Century Gothic" w:hAnsi="Century Gothic" w:cs="Aparajita"/>
          <w:sz w:val="20"/>
          <w:szCs w:val="20"/>
        </w:rPr>
        <w:t xml:space="preserve">. </w:t>
      </w:r>
    </w:p>
    <w:p w:rsidR="000E0BEF" w:rsidRDefault="00337F74" w:rsidP="00337F74">
      <w:pPr>
        <w:jc w:val="both"/>
        <w:rPr>
          <w:rFonts w:ascii="Century Gothic" w:hAnsi="Century Gothic" w:cs="Aparajita"/>
          <w:sz w:val="20"/>
          <w:szCs w:val="20"/>
        </w:rPr>
      </w:pPr>
      <w:r>
        <w:rPr>
          <w:rFonts w:ascii="Century Gothic" w:hAnsi="Century Gothic" w:cs="Aparajita"/>
          <w:sz w:val="20"/>
          <w:szCs w:val="20"/>
        </w:rPr>
        <w:t xml:space="preserve">Despite not being permitted to present </w:t>
      </w:r>
      <w:r w:rsidR="000E0BEF">
        <w:rPr>
          <w:rFonts w:ascii="Century Gothic" w:hAnsi="Century Gothic" w:cs="Aparajita"/>
          <w:sz w:val="20"/>
          <w:szCs w:val="20"/>
        </w:rPr>
        <w:t xml:space="preserve">at the IDP Managers’ Forum the IDP Managers were introduced to the new legislation </w:t>
      </w:r>
      <w:r w:rsidR="00925615">
        <w:rPr>
          <w:rFonts w:ascii="Century Gothic" w:hAnsi="Century Gothic" w:cs="Aparajita"/>
          <w:sz w:val="20"/>
          <w:szCs w:val="20"/>
        </w:rPr>
        <w:t xml:space="preserve">governing </w:t>
      </w:r>
      <w:r w:rsidR="000E0BEF">
        <w:rPr>
          <w:rFonts w:ascii="Century Gothic" w:hAnsi="Century Gothic" w:cs="Aparajita"/>
          <w:sz w:val="20"/>
          <w:szCs w:val="20"/>
        </w:rPr>
        <w:t xml:space="preserve">spatial and land use planning </w:t>
      </w:r>
      <w:r w:rsidR="00604770">
        <w:rPr>
          <w:rFonts w:ascii="Century Gothic" w:hAnsi="Century Gothic" w:cs="Aparajita"/>
          <w:sz w:val="20"/>
          <w:szCs w:val="20"/>
        </w:rPr>
        <w:t>at all three spheres of government.</w:t>
      </w:r>
      <w:r w:rsidR="000E0BEF">
        <w:rPr>
          <w:rFonts w:ascii="Century Gothic" w:hAnsi="Century Gothic" w:cs="Aparajita"/>
          <w:sz w:val="20"/>
          <w:szCs w:val="20"/>
        </w:rPr>
        <w:t xml:space="preserve"> </w:t>
      </w:r>
      <w:r w:rsidR="00925615">
        <w:rPr>
          <w:rFonts w:ascii="Century Gothic" w:hAnsi="Century Gothic" w:cs="Aparajita"/>
          <w:sz w:val="20"/>
          <w:szCs w:val="20"/>
        </w:rPr>
        <w:t xml:space="preserve">The new legislation emphasises the importance of spatial planning and the need to like spatial planning with the Municipal Systems Act </w:t>
      </w:r>
      <w:r w:rsidR="000E0BEF">
        <w:rPr>
          <w:rFonts w:ascii="Century Gothic" w:hAnsi="Century Gothic" w:cs="Aparajita"/>
          <w:sz w:val="20"/>
          <w:szCs w:val="20"/>
        </w:rPr>
        <w:t xml:space="preserve">(Act 32 of 2000), the Act which governs IDP. </w:t>
      </w:r>
    </w:p>
    <w:p w:rsidR="006001A0" w:rsidRDefault="00604770" w:rsidP="00690C2A">
      <w:pPr>
        <w:jc w:val="both"/>
        <w:rPr>
          <w:rFonts w:ascii="Century Gothic" w:hAnsi="Century Gothic" w:cs="Aparajita"/>
          <w:sz w:val="20"/>
          <w:szCs w:val="20"/>
        </w:rPr>
      </w:pPr>
      <w:r>
        <w:rPr>
          <w:rFonts w:ascii="Century Gothic" w:hAnsi="Century Gothic" w:cs="Aparajita"/>
          <w:sz w:val="20"/>
          <w:szCs w:val="20"/>
        </w:rPr>
        <w:t xml:space="preserve">The </w:t>
      </w:r>
      <w:r w:rsidR="007654A6">
        <w:rPr>
          <w:rFonts w:ascii="Century Gothic" w:hAnsi="Century Gothic" w:cs="Aparajita"/>
          <w:sz w:val="20"/>
          <w:szCs w:val="20"/>
        </w:rPr>
        <w:t>presentation</w:t>
      </w:r>
      <w:r>
        <w:rPr>
          <w:rFonts w:ascii="Century Gothic" w:hAnsi="Century Gothic" w:cs="Aparajita"/>
          <w:sz w:val="20"/>
          <w:szCs w:val="20"/>
        </w:rPr>
        <w:t xml:space="preserve"> on the new planning legislation</w:t>
      </w:r>
      <w:r w:rsidR="00337F74">
        <w:rPr>
          <w:rFonts w:ascii="Century Gothic" w:hAnsi="Century Gothic" w:cs="Aparajita"/>
          <w:sz w:val="20"/>
          <w:szCs w:val="20"/>
        </w:rPr>
        <w:t xml:space="preserve"> </w:t>
      </w:r>
      <w:r w:rsidR="00690C2A">
        <w:rPr>
          <w:rFonts w:ascii="Century Gothic" w:hAnsi="Century Gothic" w:cs="Aparajita"/>
          <w:sz w:val="20"/>
          <w:szCs w:val="20"/>
        </w:rPr>
        <w:t xml:space="preserve">was to be used as an introduction into the presentation on the Spatial Development and Infrastructure Planning Support Strategy discussion </w:t>
      </w:r>
      <w:r w:rsidR="006001A0">
        <w:rPr>
          <w:rFonts w:ascii="Century Gothic" w:hAnsi="Century Gothic" w:cs="Aparajita"/>
          <w:sz w:val="20"/>
          <w:szCs w:val="20"/>
        </w:rPr>
        <w:t xml:space="preserve">for the following reasons. </w:t>
      </w:r>
    </w:p>
    <w:p w:rsidR="006001A0" w:rsidRDefault="006001A0" w:rsidP="00690C2A">
      <w:pPr>
        <w:jc w:val="both"/>
        <w:rPr>
          <w:rFonts w:ascii="Century Gothic" w:hAnsi="Century Gothic" w:cs="Aparajita"/>
          <w:sz w:val="20"/>
          <w:szCs w:val="20"/>
        </w:rPr>
      </w:pPr>
      <w:r>
        <w:rPr>
          <w:rFonts w:ascii="Century Gothic" w:hAnsi="Century Gothic" w:cs="Aparajita"/>
          <w:sz w:val="20"/>
          <w:szCs w:val="20"/>
        </w:rPr>
        <w:t xml:space="preserve">Firstly, the concept behind the Intergovernmental Planning Committee presented in the SOP originates from the new planning legislation at the provincial level, the Western Cape Land Use Planning Act (Act 3 of 2014)(LUPA). This is discussed further in Deliverable 1: the Standard Operating Procedure. </w:t>
      </w:r>
    </w:p>
    <w:p w:rsidR="006001A0" w:rsidRDefault="006001A0" w:rsidP="00690C2A">
      <w:pPr>
        <w:jc w:val="both"/>
        <w:rPr>
          <w:rFonts w:ascii="Century Gothic" w:hAnsi="Century Gothic" w:cs="Aparajita"/>
          <w:sz w:val="20"/>
          <w:szCs w:val="20"/>
        </w:rPr>
      </w:pPr>
      <w:r>
        <w:rPr>
          <w:rFonts w:ascii="Century Gothic" w:hAnsi="Century Gothic" w:cs="Aparajita"/>
          <w:sz w:val="20"/>
          <w:szCs w:val="20"/>
        </w:rPr>
        <w:t xml:space="preserve">Secondly, the new Municipal Systems Act is noted in Deliverable 1: Standard Operating Procedure, as one of the pieces legislation that promotes integration and alignment of plans across the various spheres of government. This is achieved through the Municipal IDP. The Municipal IDP is also the mechanism through which budget is associated to projects. As such, if the Spatial Development and Infrastructure Planning Support Strategy </w:t>
      </w:r>
      <w:proofErr w:type="gramStart"/>
      <w:r w:rsidR="003F0FE0">
        <w:rPr>
          <w:rFonts w:ascii="Century Gothic" w:hAnsi="Century Gothic" w:cs="Aparajita"/>
          <w:sz w:val="20"/>
          <w:szCs w:val="20"/>
        </w:rPr>
        <w:t>improves</w:t>
      </w:r>
      <w:proofErr w:type="gramEnd"/>
      <w:r w:rsidR="003F0FE0">
        <w:rPr>
          <w:rFonts w:ascii="Century Gothic" w:hAnsi="Century Gothic" w:cs="Aparajita"/>
          <w:sz w:val="20"/>
          <w:szCs w:val="20"/>
        </w:rPr>
        <w:t xml:space="preserve"> the</w:t>
      </w:r>
      <w:r>
        <w:rPr>
          <w:rFonts w:ascii="Century Gothic" w:hAnsi="Century Gothic" w:cs="Aparajita"/>
          <w:sz w:val="20"/>
          <w:szCs w:val="20"/>
        </w:rPr>
        <w:t xml:space="preserve"> </w:t>
      </w:r>
      <w:r>
        <w:rPr>
          <w:rFonts w:ascii="Century Gothic" w:hAnsi="Century Gothic" w:cs="Aparajita"/>
          <w:sz w:val="20"/>
          <w:szCs w:val="20"/>
        </w:rPr>
        <w:lastRenderedPageBreak/>
        <w:t xml:space="preserve">integration and alignment of the 5 sector plans and this integration and </w:t>
      </w:r>
      <w:r w:rsidR="003F0FE0">
        <w:rPr>
          <w:rFonts w:ascii="Century Gothic" w:hAnsi="Century Gothic" w:cs="Aparajita"/>
          <w:sz w:val="20"/>
          <w:szCs w:val="20"/>
        </w:rPr>
        <w:t>alignment</w:t>
      </w:r>
      <w:r>
        <w:rPr>
          <w:rFonts w:ascii="Century Gothic" w:hAnsi="Century Gothic" w:cs="Aparajita"/>
          <w:sz w:val="20"/>
          <w:szCs w:val="20"/>
        </w:rPr>
        <w:t xml:space="preserve"> extends to the Municipal IDP then it is a logical conclusion that the </w:t>
      </w:r>
      <w:r w:rsidR="003F0FE0">
        <w:rPr>
          <w:rFonts w:ascii="Century Gothic" w:hAnsi="Century Gothic" w:cs="Aparajita"/>
          <w:sz w:val="20"/>
          <w:szCs w:val="20"/>
        </w:rPr>
        <w:t xml:space="preserve">associated </w:t>
      </w:r>
      <w:r>
        <w:rPr>
          <w:rFonts w:ascii="Century Gothic" w:hAnsi="Century Gothic" w:cs="Aparajita"/>
          <w:sz w:val="20"/>
          <w:szCs w:val="20"/>
        </w:rPr>
        <w:t xml:space="preserve">budget </w:t>
      </w:r>
      <w:r w:rsidR="003F0FE0">
        <w:rPr>
          <w:rFonts w:ascii="Century Gothic" w:hAnsi="Century Gothic" w:cs="Aparajita"/>
          <w:sz w:val="20"/>
          <w:szCs w:val="20"/>
        </w:rPr>
        <w:t xml:space="preserve">of all three spheres of government will follow. </w:t>
      </w:r>
    </w:p>
    <w:p w:rsidR="00337F74" w:rsidRDefault="003F0FE0" w:rsidP="003F0FE0">
      <w:pPr>
        <w:jc w:val="both"/>
        <w:rPr>
          <w:rFonts w:ascii="Century Gothic" w:hAnsi="Century Gothic" w:cs="Aparajita"/>
          <w:sz w:val="20"/>
          <w:szCs w:val="20"/>
        </w:rPr>
      </w:pPr>
      <w:r>
        <w:rPr>
          <w:rFonts w:ascii="Century Gothic" w:hAnsi="Century Gothic" w:cs="Aparajita"/>
          <w:sz w:val="20"/>
          <w:szCs w:val="20"/>
        </w:rPr>
        <w:t xml:space="preserve">While the presentation on the new planning legislation was not used as an introduction to the presentation Spatial Development and Infrastructure Planning Support Strategy it did start an interesting discussion which has relevance here. Some of the </w:t>
      </w:r>
      <w:bookmarkStart w:id="0" w:name="_GoBack"/>
      <w:bookmarkEnd w:id="0"/>
      <w:r w:rsidR="00A12601">
        <w:rPr>
          <w:rFonts w:ascii="Century Gothic" w:hAnsi="Century Gothic" w:cs="Aparajita"/>
          <w:sz w:val="20"/>
          <w:szCs w:val="20"/>
        </w:rPr>
        <w:t>discussion points</w:t>
      </w:r>
      <w:r w:rsidR="00604770">
        <w:rPr>
          <w:rFonts w:ascii="Century Gothic" w:hAnsi="Century Gothic" w:cs="Aparajita"/>
          <w:sz w:val="20"/>
          <w:szCs w:val="20"/>
        </w:rPr>
        <w:t xml:space="preserve"> have been </w:t>
      </w:r>
      <w:r>
        <w:rPr>
          <w:rFonts w:ascii="Century Gothic" w:hAnsi="Century Gothic" w:cs="Aparajita"/>
          <w:sz w:val="20"/>
          <w:szCs w:val="20"/>
        </w:rPr>
        <w:t xml:space="preserve">included </w:t>
      </w:r>
      <w:r w:rsidR="00604770">
        <w:rPr>
          <w:rFonts w:ascii="Century Gothic" w:hAnsi="Century Gothic" w:cs="Aparajita"/>
          <w:sz w:val="20"/>
          <w:szCs w:val="20"/>
        </w:rPr>
        <w:t>below.</w:t>
      </w:r>
    </w:p>
    <w:p w:rsidR="00690C2A" w:rsidRDefault="00337F74" w:rsidP="00337F74">
      <w:pPr>
        <w:pStyle w:val="ListParagraph"/>
        <w:numPr>
          <w:ilvl w:val="0"/>
          <w:numId w:val="41"/>
        </w:numPr>
        <w:jc w:val="both"/>
        <w:rPr>
          <w:rFonts w:ascii="Century Gothic" w:hAnsi="Century Gothic" w:cs="Aparajita"/>
          <w:sz w:val="20"/>
          <w:szCs w:val="20"/>
        </w:rPr>
      </w:pPr>
      <w:r>
        <w:rPr>
          <w:rFonts w:ascii="Century Gothic" w:hAnsi="Century Gothic" w:cs="Aparajita"/>
          <w:sz w:val="20"/>
          <w:szCs w:val="20"/>
        </w:rPr>
        <w:t xml:space="preserve">There is common agreement that </w:t>
      </w:r>
      <w:r w:rsidR="009044B8">
        <w:rPr>
          <w:rFonts w:ascii="Century Gothic" w:hAnsi="Century Gothic" w:cs="Aparajita"/>
          <w:sz w:val="20"/>
          <w:szCs w:val="20"/>
        </w:rPr>
        <w:t xml:space="preserve">spatial planning is embedded in the legislation and particularly in the Municipal Systems Act (Act 32 of 2000). </w:t>
      </w:r>
    </w:p>
    <w:p w:rsidR="00337F74" w:rsidRDefault="00690C2A" w:rsidP="00337F74">
      <w:pPr>
        <w:pStyle w:val="ListParagraph"/>
        <w:numPr>
          <w:ilvl w:val="0"/>
          <w:numId w:val="41"/>
        </w:numPr>
        <w:jc w:val="both"/>
        <w:rPr>
          <w:rFonts w:ascii="Century Gothic" w:hAnsi="Century Gothic" w:cs="Aparajita"/>
          <w:sz w:val="20"/>
          <w:szCs w:val="20"/>
        </w:rPr>
      </w:pPr>
      <w:r>
        <w:rPr>
          <w:rFonts w:ascii="Century Gothic" w:hAnsi="Century Gothic" w:cs="Aparajita"/>
          <w:sz w:val="20"/>
          <w:szCs w:val="20"/>
        </w:rPr>
        <w:t>S</w:t>
      </w:r>
      <w:r w:rsidR="009044B8">
        <w:rPr>
          <w:rFonts w:ascii="Century Gothic" w:hAnsi="Century Gothic" w:cs="Aparajita"/>
          <w:sz w:val="20"/>
          <w:szCs w:val="20"/>
        </w:rPr>
        <w:t xml:space="preserve">patial planning must occur through the IDP process as prescribed in the MSA. </w:t>
      </w:r>
    </w:p>
    <w:p w:rsidR="003F0FE0" w:rsidRDefault="00690C2A" w:rsidP="00337F74">
      <w:pPr>
        <w:pStyle w:val="ListParagraph"/>
        <w:numPr>
          <w:ilvl w:val="0"/>
          <w:numId w:val="41"/>
        </w:numPr>
        <w:jc w:val="both"/>
        <w:rPr>
          <w:rFonts w:ascii="Century Gothic" w:hAnsi="Century Gothic" w:cs="Aparajita"/>
          <w:sz w:val="20"/>
          <w:szCs w:val="20"/>
        </w:rPr>
      </w:pPr>
      <w:r>
        <w:rPr>
          <w:rFonts w:ascii="Century Gothic" w:hAnsi="Century Gothic" w:cs="Aparajita"/>
          <w:sz w:val="20"/>
          <w:szCs w:val="20"/>
        </w:rPr>
        <w:t xml:space="preserve">Improving communication between the planning, housing, transport, solid waste, and infrastructure officials and the </w:t>
      </w:r>
      <w:r w:rsidR="00A34934">
        <w:rPr>
          <w:rFonts w:ascii="Century Gothic" w:hAnsi="Century Gothic" w:cs="Aparajita"/>
          <w:sz w:val="20"/>
          <w:szCs w:val="20"/>
        </w:rPr>
        <w:t xml:space="preserve">IDP Manager would </w:t>
      </w:r>
      <w:r>
        <w:rPr>
          <w:rFonts w:ascii="Century Gothic" w:hAnsi="Century Gothic" w:cs="Aparajita"/>
          <w:sz w:val="20"/>
          <w:szCs w:val="20"/>
        </w:rPr>
        <w:t xml:space="preserve">assist in </w:t>
      </w:r>
      <w:r w:rsidR="00A34934">
        <w:rPr>
          <w:rFonts w:ascii="Century Gothic" w:hAnsi="Century Gothic" w:cs="Aparajita"/>
          <w:sz w:val="20"/>
          <w:szCs w:val="20"/>
        </w:rPr>
        <w:t xml:space="preserve">improving the </w:t>
      </w:r>
      <w:r>
        <w:rPr>
          <w:rFonts w:ascii="Century Gothic" w:hAnsi="Century Gothic" w:cs="Aparajita"/>
          <w:sz w:val="20"/>
          <w:szCs w:val="20"/>
        </w:rPr>
        <w:t>quality of municipal</w:t>
      </w:r>
      <w:r w:rsidR="00A34934">
        <w:rPr>
          <w:rFonts w:ascii="Century Gothic" w:hAnsi="Century Gothic" w:cs="Aparajita"/>
          <w:sz w:val="20"/>
          <w:szCs w:val="20"/>
        </w:rPr>
        <w:t xml:space="preserve"> IDPs</w:t>
      </w:r>
      <w:r>
        <w:rPr>
          <w:rFonts w:ascii="Century Gothic" w:hAnsi="Century Gothic" w:cs="Aparajita"/>
          <w:sz w:val="20"/>
          <w:szCs w:val="20"/>
        </w:rPr>
        <w:t xml:space="preserve"> </w:t>
      </w:r>
      <w:r w:rsidR="00925615">
        <w:rPr>
          <w:rFonts w:ascii="Century Gothic" w:hAnsi="Century Gothic" w:cs="Aparajita"/>
          <w:sz w:val="20"/>
          <w:szCs w:val="20"/>
        </w:rPr>
        <w:t xml:space="preserve">as it may lead to </w:t>
      </w:r>
      <w:r w:rsidR="00A34934">
        <w:rPr>
          <w:rFonts w:ascii="Century Gothic" w:hAnsi="Century Gothic" w:cs="Aparajita"/>
          <w:sz w:val="20"/>
          <w:szCs w:val="20"/>
        </w:rPr>
        <w:t xml:space="preserve">projects identified by the planning officials </w:t>
      </w:r>
      <w:r w:rsidR="00925615">
        <w:rPr>
          <w:rFonts w:ascii="Century Gothic" w:hAnsi="Century Gothic" w:cs="Aparajita"/>
          <w:sz w:val="20"/>
          <w:szCs w:val="20"/>
        </w:rPr>
        <w:t xml:space="preserve">being included in the </w:t>
      </w:r>
      <w:r>
        <w:rPr>
          <w:rFonts w:ascii="Century Gothic" w:hAnsi="Century Gothic" w:cs="Aparajita"/>
          <w:sz w:val="20"/>
          <w:szCs w:val="20"/>
        </w:rPr>
        <w:t>IDP budgets and plans from an early stage.</w:t>
      </w:r>
    </w:p>
    <w:p w:rsidR="001B573D" w:rsidRPr="0053305A" w:rsidRDefault="00690C2A" w:rsidP="003F0FE0">
      <w:pPr>
        <w:pStyle w:val="ListParagraph"/>
        <w:jc w:val="both"/>
        <w:rPr>
          <w:rFonts w:ascii="Century Gothic" w:hAnsi="Century Gothic" w:cs="Aparajita"/>
          <w:sz w:val="20"/>
          <w:szCs w:val="20"/>
        </w:rPr>
      </w:pPr>
      <w:r>
        <w:rPr>
          <w:rFonts w:ascii="Century Gothic" w:hAnsi="Century Gothic" w:cs="Aparajita"/>
          <w:sz w:val="20"/>
          <w:szCs w:val="20"/>
        </w:rPr>
        <w:t xml:space="preserve"> </w:t>
      </w:r>
    </w:p>
    <w:p w:rsidR="00C410A0" w:rsidRPr="001B573D" w:rsidRDefault="00C410A0" w:rsidP="00C410A0">
      <w:pPr>
        <w:pStyle w:val="ListParagraph"/>
        <w:numPr>
          <w:ilvl w:val="0"/>
          <w:numId w:val="3"/>
        </w:numPr>
        <w:jc w:val="both"/>
        <w:rPr>
          <w:rFonts w:ascii="Century Gothic" w:hAnsi="Century Gothic" w:cs="Aparajita"/>
          <w:b/>
          <w:sz w:val="20"/>
          <w:szCs w:val="20"/>
        </w:rPr>
      </w:pPr>
      <w:r>
        <w:rPr>
          <w:rFonts w:ascii="Century Gothic" w:hAnsi="Century Gothic" w:cs="Aparajita"/>
          <w:b/>
          <w:sz w:val="20"/>
          <w:szCs w:val="20"/>
        </w:rPr>
        <w:t>WAY FORWARD</w:t>
      </w:r>
    </w:p>
    <w:p w:rsidR="00A832DB" w:rsidRDefault="00CC134A" w:rsidP="00A832DB">
      <w:pPr>
        <w:jc w:val="both"/>
        <w:rPr>
          <w:rFonts w:ascii="Century Gothic" w:hAnsi="Century Gothic" w:cs="Aparajita"/>
          <w:sz w:val="20"/>
          <w:szCs w:val="20"/>
        </w:rPr>
      </w:pPr>
      <w:r>
        <w:rPr>
          <w:rFonts w:ascii="Century Gothic" w:hAnsi="Century Gothic" w:cs="Aparajita"/>
          <w:sz w:val="20"/>
          <w:szCs w:val="20"/>
        </w:rPr>
        <w:t>Based on the</w:t>
      </w:r>
      <w:r w:rsidR="00A5114D">
        <w:rPr>
          <w:rFonts w:ascii="Century Gothic" w:hAnsi="Century Gothic" w:cs="Aparajita"/>
          <w:sz w:val="20"/>
          <w:szCs w:val="20"/>
        </w:rPr>
        <w:t xml:space="preserve"> interlinkages and</w:t>
      </w:r>
      <w:r>
        <w:rPr>
          <w:rFonts w:ascii="Century Gothic" w:hAnsi="Century Gothic" w:cs="Aparajita"/>
          <w:sz w:val="20"/>
          <w:szCs w:val="20"/>
        </w:rPr>
        <w:t xml:space="preserve"> similarities </w:t>
      </w:r>
      <w:r w:rsidR="00A5114D">
        <w:rPr>
          <w:rFonts w:ascii="Century Gothic" w:hAnsi="Century Gothic" w:cs="Aparajita"/>
          <w:sz w:val="20"/>
          <w:szCs w:val="20"/>
        </w:rPr>
        <w:t>of</w:t>
      </w:r>
      <w:r>
        <w:rPr>
          <w:rFonts w:ascii="Century Gothic" w:hAnsi="Century Gothic" w:cs="Aparajita"/>
          <w:sz w:val="20"/>
          <w:szCs w:val="20"/>
        </w:rPr>
        <w:t xml:space="preserve"> the Sub-Work Group and PSG 5, and in an attempt not to lose the work done thus far, it is proposed that the Sub-Work Group be absorbed into and developed further under PSG 5. </w:t>
      </w:r>
    </w:p>
    <w:p w:rsidR="00CC134A" w:rsidRDefault="00CC134A" w:rsidP="00A832DB">
      <w:pPr>
        <w:jc w:val="both"/>
        <w:rPr>
          <w:rFonts w:ascii="Century Gothic" w:hAnsi="Century Gothic" w:cs="Aparajita"/>
          <w:sz w:val="20"/>
          <w:szCs w:val="20"/>
        </w:rPr>
      </w:pPr>
      <w:r>
        <w:rPr>
          <w:rFonts w:ascii="Century Gothic" w:hAnsi="Century Gothic" w:cs="Aparajita"/>
          <w:sz w:val="20"/>
          <w:szCs w:val="20"/>
        </w:rPr>
        <w:t xml:space="preserve">It is further proposed that the </w:t>
      </w:r>
      <w:r w:rsidR="00DD1B34">
        <w:rPr>
          <w:rFonts w:ascii="Century Gothic" w:hAnsi="Century Gothic" w:cs="Aparajita"/>
          <w:sz w:val="20"/>
          <w:szCs w:val="20"/>
        </w:rPr>
        <w:t xml:space="preserve">Planning Heads Forum, which includes the Chief Town Planners of all Western Cape Municipalities, and the IDP Managers’ Forum should hold a combined session in the near future. This session will not replace the </w:t>
      </w:r>
      <w:r w:rsidR="00C825BD">
        <w:rPr>
          <w:rFonts w:ascii="Century Gothic" w:hAnsi="Century Gothic" w:cs="Aparajita"/>
          <w:sz w:val="20"/>
          <w:szCs w:val="20"/>
        </w:rPr>
        <w:t>individual f</w:t>
      </w:r>
      <w:r w:rsidR="00336134">
        <w:rPr>
          <w:rFonts w:ascii="Century Gothic" w:hAnsi="Century Gothic" w:cs="Aparajita"/>
          <w:sz w:val="20"/>
          <w:szCs w:val="20"/>
        </w:rPr>
        <w:t>orums</w:t>
      </w:r>
      <w:r w:rsidR="00DD1B34">
        <w:rPr>
          <w:rFonts w:ascii="Century Gothic" w:hAnsi="Century Gothic" w:cs="Aparajita"/>
          <w:sz w:val="20"/>
          <w:szCs w:val="20"/>
        </w:rPr>
        <w:t xml:space="preserve"> but rather assist in developing the SOP and Guideline further in the interest of both sectors. The combined session may decide to continue to meet in a combined fashion but that is up to the quorum to decide. </w:t>
      </w:r>
    </w:p>
    <w:sectPr w:rsidR="00CC134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0F" w:rsidRDefault="009E4C0F" w:rsidP="00210D1E">
      <w:pPr>
        <w:spacing w:after="0" w:line="240" w:lineRule="auto"/>
      </w:pPr>
      <w:r>
        <w:separator/>
      </w:r>
    </w:p>
  </w:endnote>
  <w:endnote w:type="continuationSeparator" w:id="0">
    <w:p w:rsidR="009E4C0F" w:rsidRDefault="009E4C0F" w:rsidP="0021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562849"/>
      <w:docPartObj>
        <w:docPartGallery w:val="Page Numbers (Bottom of Page)"/>
        <w:docPartUnique/>
      </w:docPartObj>
    </w:sdtPr>
    <w:sdtEndPr>
      <w:rPr>
        <w:color w:val="808080" w:themeColor="background1" w:themeShade="80"/>
        <w:spacing w:val="60"/>
      </w:rPr>
    </w:sdtEndPr>
    <w:sdtContent>
      <w:p w:rsidR="00717648" w:rsidRDefault="007176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2601">
          <w:rPr>
            <w:noProof/>
          </w:rPr>
          <w:t>4</w:t>
        </w:r>
        <w:r>
          <w:rPr>
            <w:noProof/>
          </w:rPr>
          <w:fldChar w:fldCharType="end"/>
        </w:r>
        <w:r>
          <w:t xml:space="preserve"> | </w:t>
        </w:r>
        <w:r>
          <w:rPr>
            <w:color w:val="808080" w:themeColor="background1" w:themeShade="80"/>
            <w:spacing w:val="60"/>
          </w:rPr>
          <w:t>Page</w:t>
        </w:r>
      </w:p>
    </w:sdtContent>
  </w:sdt>
  <w:p w:rsidR="00717648" w:rsidRDefault="007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0F" w:rsidRDefault="009E4C0F" w:rsidP="00210D1E">
      <w:pPr>
        <w:spacing w:after="0" w:line="240" w:lineRule="auto"/>
      </w:pPr>
      <w:r>
        <w:separator/>
      </w:r>
    </w:p>
  </w:footnote>
  <w:footnote w:type="continuationSeparator" w:id="0">
    <w:p w:rsidR="009E4C0F" w:rsidRDefault="009E4C0F" w:rsidP="00210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4.25pt" o:bullet="t">
        <v:imagedata r:id="rId1" o:title="art21E5"/>
      </v:shape>
    </w:pict>
  </w:numPicBullet>
  <w:abstractNum w:abstractNumId="0">
    <w:nsid w:val="009162B1"/>
    <w:multiLevelType w:val="hybridMultilevel"/>
    <w:tmpl w:val="37922D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BB95F0E"/>
    <w:multiLevelType w:val="hybridMultilevel"/>
    <w:tmpl w:val="A7DC2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63D0F"/>
    <w:multiLevelType w:val="hybridMultilevel"/>
    <w:tmpl w:val="8AF44716"/>
    <w:lvl w:ilvl="0" w:tplc="1C090019">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1A37FF"/>
    <w:multiLevelType w:val="hybridMultilevel"/>
    <w:tmpl w:val="1B3C365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28B0366"/>
    <w:multiLevelType w:val="multilevel"/>
    <w:tmpl w:val="19867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B308AD"/>
    <w:multiLevelType w:val="hybridMultilevel"/>
    <w:tmpl w:val="39CEDD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356E76"/>
    <w:multiLevelType w:val="hybridMultilevel"/>
    <w:tmpl w:val="0E88C158"/>
    <w:lvl w:ilvl="0" w:tplc="3438BA48">
      <w:numFmt w:val="bullet"/>
      <w:lvlText w:val=""/>
      <w:lvlPicBulletId w:val="0"/>
      <w:lvlJc w:val="left"/>
      <w:pPr>
        <w:ind w:left="720" w:hanging="360"/>
      </w:pPr>
      <w:rPr>
        <w:rFonts w:ascii="Symbol" w:eastAsiaTheme="minorHAnsi" w:hAnsi="Symbol" w:cstheme="minorBidi"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664AAD"/>
    <w:multiLevelType w:val="multilevel"/>
    <w:tmpl w:val="30105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163B1B"/>
    <w:multiLevelType w:val="hybridMultilevel"/>
    <w:tmpl w:val="6DE46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FF2E06"/>
    <w:multiLevelType w:val="hybridMultilevel"/>
    <w:tmpl w:val="CCD2374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991AF4"/>
    <w:multiLevelType w:val="hybridMultilevel"/>
    <w:tmpl w:val="5EB6E126"/>
    <w:lvl w:ilvl="0" w:tplc="1BD4DF0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906C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B50864"/>
    <w:multiLevelType w:val="hybridMultilevel"/>
    <w:tmpl w:val="1D443692"/>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54501D"/>
    <w:multiLevelType w:val="hybridMultilevel"/>
    <w:tmpl w:val="7F345A7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717A9C"/>
    <w:multiLevelType w:val="hybridMultilevel"/>
    <w:tmpl w:val="1AC43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443902"/>
    <w:multiLevelType w:val="hybridMultilevel"/>
    <w:tmpl w:val="26587A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8597536"/>
    <w:multiLevelType w:val="hybridMultilevel"/>
    <w:tmpl w:val="D4429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F547E7"/>
    <w:multiLevelType w:val="hybridMultilevel"/>
    <w:tmpl w:val="5412A1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38756E"/>
    <w:multiLevelType w:val="hybridMultilevel"/>
    <w:tmpl w:val="9D7E737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39B5FBA"/>
    <w:multiLevelType w:val="hybridMultilevel"/>
    <w:tmpl w:val="455EA8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69B6093"/>
    <w:multiLevelType w:val="multilevel"/>
    <w:tmpl w:val="BF6C03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C66057"/>
    <w:multiLevelType w:val="hybridMultilevel"/>
    <w:tmpl w:val="0016CC6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2">
    <w:nsid w:val="474615A0"/>
    <w:multiLevelType w:val="hybridMultilevel"/>
    <w:tmpl w:val="B4F81AA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E9744A"/>
    <w:multiLevelType w:val="hybridMultilevel"/>
    <w:tmpl w:val="66147068"/>
    <w:lvl w:ilvl="0" w:tplc="3438BA48">
      <w:numFmt w:val="bullet"/>
      <w:lvlText w:val=""/>
      <w:lvlPicBulletId w:val="0"/>
      <w:lvlJc w:val="left"/>
      <w:pPr>
        <w:ind w:left="720" w:hanging="360"/>
      </w:pPr>
      <w:rPr>
        <w:rFonts w:ascii="Symbol" w:eastAsiaTheme="minorHAnsi" w:hAnsi="Symbol" w:cstheme="minorBidi"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A848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EF58BF"/>
    <w:multiLevelType w:val="hybridMultilevel"/>
    <w:tmpl w:val="55B46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BE41147"/>
    <w:multiLevelType w:val="multilevel"/>
    <w:tmpl w:val="1FFA04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E9182C"/>
    <w:multiLevelType w:val="hybridMultilevel"/>
    <w:tmpl w:val="EA741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2730E7D"/>
    <w:multiLevelType w:val="multilevel"/>
    <w:tmpl w:val="30105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DC7ACD"/>
    <w:multiLevelType w:val="hybridMultilevel"/>
    <w:tmpl w:val="EDA2226E"/>
    <w:lvl w:ilvl="0" w:tplc="3438BA48">
      <w:numFmt w:val="bullet"/>
      <w:lvlText w:val=""/>
      <w:lvlPicBulletId w:val="0"/>
      <w:lvlJc w:val="left"/>
      <w:pPr>
        <w:ind w:left="720" w:hanging="360"/>
      </w:pPr>
      <w:rPr>
        <w:rFonts w:ascii="Symbol" w:eastAsiaTheme="minorHAnsi" w:hAnsi="Symbol" w:cstheme="minorBidi"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7672893"/>
    <w:multiLevelType w:val="hybridMultilevel"/>
    <w:tmpl w:val="105E46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C100D8"/>
    <w:multiLevelType w:val="hybridMultilevel"/>
    <w:tmpl w:val="26B2E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20273F2"/>
    <w:multiLevelType w:val="hybridMultilevel"/>
    <w:tmpl w:val="D3E22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2CD6EC4"/>
    <w:multiLevelType w:val="hybridMultilevel"/>
    <w:tmpl w:val="3196C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D407F0"/>
    <w:multiLevelType w:val="hybridMultilevel"/>
    <w:tmpl w:val="4394E9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0203E2"/>
    <w:multiLevelType w:val="hybridMultilevel"/>
    <w:tmpl w:val="2A94BE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B70405C"/>
    <w:multiLevelType w:val="hybridMultilevel"/>
    <w:tmpl w:val="703E8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452625"/>
    <w:multiLevelType w:val="hybridMultilevel"/>
    <w:tmpl w:val="37DEB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C8C501E"/>
    <w:multiLevelType w:val="hybridMultilevel"/>
    <w:tmpl w:val="882C9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F177089"/>
    <w:multiLevelType w:val="hybridMultilevel"/>
    <w:tmpl w:val="EB0CED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FB22DEA"/>
    <w:multiLevelType w:val="hybridMultilevel"/>
    <w:tmpl w:val="56FA3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24"/>
  </w:num>
  <w:num w:numId="4">
    <w:abstractNumId w:val="11"/>
  </w:num>
  <w:num w:numId="5">
    <w:abstractNumId w:val="26"/>
  </w:num>
  <w:num w:numId="6">
    <w:abstractNumId w:val="4"/>
  </w:num>
  <w:num w:numId="7">
    <w:abstractNumId w:val="12"/>
  </w:num>
  <w:num w:numId="8">
    <w:abstractNumId w:val="20"/>
  </w:num>
  <w:num w:numId="9">
    <w:abstractNumId w:val="33"/>
  </w:num>
  <w:num w:numId="10">
    <w:abstractNumId w:val="7"/>
  </w:num>
  <w:num w:numId="11">
    <w:abstractNumId w:val="28"/>
  </w:num>
  <w:num w:numId="12">
    <w:abstractNumId w:val="22"/>
  </w:num>
  <w:num w:numId="13">
    <w:abstractNumId w:val="25"/>
  </w:num>
  <w:num w:numId="14">
    <w:abstractNumId w:val="5"/>
  </w:num>
  <w:num w:numId="15">
    <w:abstractNumId w:val="15"/>
  </w:num>
  <w:num w:numId="16">
    <w:abstractNumId w:val="29"/>
  </w:num>
  <w:num w:numId="17">
    <w:abstractNumId w:val="6"/>
  </w:num>
  <w:num w:numId="18">
    <w:abstractNumId w:val="23"/>
  </w:num>
  <w:num w:numId="19">
    <w:abstractNumId w:val="34"/>
  </w:num>
  <w:num w:numId="20">
    <w:abstractNumId w:val="9"/>
  </w:num>
  <w:num w:numId="21">
    <w:abstractNumId w:val="0"/>
  </w:num>
  <w:num w:numId="22">
    <w:abstractNumId w:val="1"/>
  </w:num>
  <w:num w:numId="23">
    <w:abstractNumId w:val="2"/>
  </w:num>
  <w:num w:numId="24">
    <w:abstractNumId w:val="13"/>
  </w:num>
  <w:num w:numId="25">
    <w:abstractNumId w:val="18"/>
  </w:num>
  <w:num w:numId="26">
    <w:abstractNumId w:val="10"/>
  </w:num>
  <w:num w:numId="27">
    <w:abstractNumId w:val="21"/>
  </w:num>
  <w:num w:numId="28">
    <w:abstractNumId w:val="8"/>
  </w:num>
  <w:num w:numId="29">
    <w:abstractNumId w:val="38"/>
  </w:num>
  <w:num w:numId="30">
    <w:abstractNumId w:val="30"/>
  </w:num>
  <w:num w:numId="31">
    <w:abstractNumId w:val="31"/>
  </w:num>
  <w:num w:numId="32">
    <w:abstractNumId w:val="3"/>
  </w:num>
  <w:num w:numId="33">
    <w:abstractNumId w:val="37"/>
  </w:num>
  <w:num w:numId="34">
    <w:abstractNumId w:val="19"/>
  </w:num>
  <w:num w:numId="35">
    <w:abstractNumId w:val="35"/>
  </w:num>
  <w:num w:numId="36">
    <w:abstractNumId w:val="17"/>
  </w:num>
  <w:num w:numId="37">
    <w:abstractNumId w:val="14"/>
  </w:num>
  <w:num w:numId="38">
    <w:abstractNumId w:val="27"/>
  </w:num>
  <w:num w:numId="39">
    <w:abstractNumId w:val="39"/>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1E"/>
    <w:rsid w:val="00002FD1"/>
    <w:rsid w:val="000035C9"/>
    <w:rsid w:val="0000601C"/>
    <w:rsid w:val="000149FA"/>
    <w:rsid w:val="00027D01"/>
    <w:rsid w:val="000407B9"/>
    <w:rsid w:val="00041AE6"/>
    <w:rsid w:val="00044331"/>
    <w:rsid w:val="00047C0A"/>
    <w:rsid w:val="00054438"/>
    <w:rsid w:val="00062C3C"/>
    <w:rsid w:val="00081A2B"/>
    <w:rsid w:val="00083A24"/>
    <w:rsid w:val="00090D5C"/>
    <w:rsid w:val="000A6C97"/>
    <w:rsid w:val="000B691D"/>
    <w:rsid w:val="000C64AB"/>
    <w:rsid w:val="000C697D"/>
    <w:rsid w:val="000C7040"/>
    <w:rsid w:val="000D0D4B"/>
    <w:rsid w:val="000D5AA1"/>
    <w:rsid w:val="000D7065"/>
    <w:rsid w:val="000E0BEF"/>
    <w:rsid w:val="000F486D"/>
    <w:rsid w:val="00100AD3"/>
    <w:rsid w:val="00101123"/>
    <w:rsid w:val="00110128"/>
    <w:rsid w:val="00115596"/>
    <w:rsid w:val="0012141A"/>
    <w:rsid w:val="001256A0"/>
    <w:rsid w:val="00130802"/>
    <w:rsid w:val="00134941"/>
    <w:rsid w:val="0013507C"/>
    <w:rsid w:val="00143D1D"/>
    <w:rsid w:val="001446AD"/>
    <w:rsid w:val="00150008"/>
    <w:rsid w:val="00153F80"/>
    <w:rsid w:val="001565A7"/>
    <w:rsid w:val="001617AC"/>
    <w:rsid w:val="001624D5"/>
    <w:rsid w:val="00166FDD"/>
    <w:rsid w:val="001713DD"/>
    <w:rsid w:val="001762B9"/>
    <w:rsid w:val="00180192"/>
    <w:rsid w:val="001816F1"/>
    <w:rsid w:val="0019168D"/>
    <w:rsid w:val="00194B98"/>
    <w:rsid w:val="00196CC3"/>
    <w:rsid w:val="001A46FA"/>
    <w:rsid w:val="001B0058"/>
    <w:rsid w:val="001B1388"/>
    <w:rsid w:val="001B573D"/>
    <w:rsid w:val="001C0A96"/>
    <w:rsid w:val="001E44F8"/>
    <w:rsid w:val="001E5BE7"/>
    <w:rsid w:val="00210D1E"/>
    <w:rsid w:val="002167CB"/>
    <w:rsid w:val="00220C17"/>
    <w:rsid w:val="00222F9A"/>
    <w:rsid w:val="00250BC1"/>
    <w:rsid w:val="002524FF"/>
    <w:rsid w:val="00262C28"/>
    <w:rsid w:val="0026361B"/>
    <w:rsid w:val="00270AC4"/>
    <w:rsid w:val="00273073"/>
    <w:rsid w:val="002734A4"/>
    <w:rsid w:val="00280BE6"/>
    <w:rsid w:val="00285004"/>
    <w:rsid w:val="002909D0"/>
    <w:rsid w:val="002936D8"/>
    <w:rsid w:val="0029592D"/>
    <w:rsid w:val="002A3190"/>
    <w:rsid w:val="002A3C71"/>
    <w:rsid w:val="002A71B1"/>
    <w:rsid w:val="002B7CB9"/>
    <w:rsid w:val="002C2223"/>
    <w:rsid w:val="002C5A36"/>
    <w:rsid w:val="002E1080"/>
    <w:rsid w:val="002E2B77"/>
    <w:rsid w:val="002E4CE9"/>
    <w:rsid w:val="002F6C4A"/>
    <w:rsid w:val="00301C2C"/>
    <w:rsid w:val="00311B59"/>
    <w:rsid w:val="0031750E"/>
    <w:rsid w:val="00321D6A"/>
    <w:rsid w:val="00321F25"/>
    <w:rsid w:val="0032748B"/>
    <w:rsid w:val="00336134"/>
    <w:rsid w:val="00337F74"/>
    <w:rsid w:val="003409B9"/>
    <w:rsid w:val="003433FC"/>
    <w:rsid w:val="0036614C"/>
    <w:rsid w:val="00372610"/>
    <w:rsid w:val="00374350"/>
    <w:rsid w:val="00376755"/>
    <w:rsid w:val="00381357"/>
    <w:rsid w:val="00382D98"/>
    <w:rsid w:val="00385396"/>
    <w:rsid w:val="00397717"/>
    <w:rsid w:val="003B0819"/>
    <w:rsid w:val="003B510D"/>
    <w:rsid w:val="003B715C"/>
    <w:rsid w:val="003C4E48"/>
    <w:rsid w:val="003C7A70"/>
    <w:rsid w:val="003D63CE"/>
    <w:rsid w:val="003F0FE0"/>
    <w:rsid w:val="004030D4"/>
    <w:rsid w:val="00404CAB"/>
    <w:rsid w:val="00405F06"/>
    <w:rsid w:val="004064CC"/>
    <w:rsid w:val="00406BF1"/>
    <w:rsid w:val="0041429A"/>
    <w:rsid w:val="00415571"/>
    <w:rsid w:val="00420DF6"/>
    <w:rsid w:val="00423A54"/>
    <w:rsid w:val="004315BB"/>
    <w:rsid w:val="00436042"/>
    <w:rsid w:val="0043731B"/>
    <w:rsid w:val="004468A6"/>
    <w:rsid w:val="00461B80"/>
    <w:rsid w:val="00461F3B"/>
    <w:rsid w:val="00465785"/>
    <w:rsid w:val="004679C9"/>
    <w:rsid w:val="0048173C"/>
    <w:rsid w:val="00482897"/>
    <w:rsid w:val="004918FA"/>
    <w:rsid w:val="004939A2"/>
    <w:rsid w:val="004A0C07"/>
    <w:rsid w:val="004B006B"/>
    <w:rsid w:val="004B0923"/>
    <w:rsid w:val="004B3134"/>
    <w:rsid w:val="004D6681"/>
    <w:rsid w:val="004E3943"/>
    <w:rsid w:val="004E444D"/>
    <w:rsid w:val="004E7B5B"/>
    <w:rsid w:val="004F0C79"/>
    <w:rsid w:val="004F1B19"/>
    <w:rsid w:val="004F3D9B"/>
    <w:rsid w:val="004F6736"/>
    <w:rsid w:val="004F7A86"/>
    <w:rsid w:val="0050080C"/>
    <w:rsid w:val="005119E1"/>
    <w:rsid w:val="00521F39"/>
    <w:rsid w:val="0052574E"/>
    <w:rsid w:val="00526227"/>
    <w:rsid w:val="005266F7"/>
    <w:rsid w:val="005274C6"/>
    <w:rsid w:val="0053305A"/>
    <w:rsid w:val="0053712F"/>
    <w:rsid w:val="005378DA"/>
    <w:rsid w:val="00552135"/>
    <w:rsid w:val="005606FF"/>
    <w:rsid w:val="00565CF9"/>
    <w:rsid w:val="005671F8"/>
    <w:rsid w:val="00571081"/>
    <w:rsid w:val="0058518E"/>
    <w:rsid w:val="0058521B"/>
    <w:rsid w:val="00587B80"/>
    <w:rsid w:val="005908A6"/>
    <w:rsid w:val="00590B89"/>
    <w:rsid w:val="00592901"/>
    <w:rsid w:val="005947EA"/>
    <w:rsid w:val="005A0ED5"/>
    <w:rsid w:val="005A29CA"/>
    <w:rsid w:val="005A608D"/>
    <w:rsid w:val="005B0F21"/>
    <w:rsid w:val="005B0F79"/>
    <w:rsid w:val="005B34D5"/>
    <w:rsid w:val="005B3615"/>
    <w:rsid w:val="005E0090"/>
    <w:rsid w:val="005F16A5"/>
    <w:rsid w:val="005F341D"/>
    <w:rsid w:val="006001A0"/>
    <w:rsid w:val="00601E2E"/>
    <w:rsid w:val="00603121"/>
    <w:rsid w:val="00604770"/>
    <w:rsid w:val="00606807"/>
    <w:rsid w:val="006104CE"/>
    <w:rsid w:val="00610E3D"/>
    <w:rsid w:val="00626B3C"/>
    <w:rsid w:val="0062702F"/>
    <w:rsid w:val="00631711"/>
    <w:rsid w:val="00643AD7"/>
    <w:rsid w:val="0064459C"/>
    <w:rsid w:val="00644897"/>
    <w:rsid w:val="0068524E"/>
    <w:rsid w:val="0069028E"/>
    <w:rsid w:val="00690C2A"/>
    <w:rsid w:val="00691230"/>
    <w:rsid w:val="00693583"/>
    <w:rsid w:val="00696338"/>
    <w:rsid w:val="006A20B7"/>
    <w:rsid w:val="006A7A23"/>
    <w:rsid w:val="006B18BF"/>
    <w:rsid w:val="006B5156"/>
    <w:rsid w:val="006B521F"/>
    <w:rsid w:val="006D29AC"/>
    <w:rsid w:val="006D597C"/>
    <w:rsid w:val="006E1738"/>
    <w:rsid w:val="006E2F33"/>
    <w:rsid w:val="006E3D51"/>
    <w:rsid w:val="006E5BC1"/>
    <w:rsid w:val="006F64D9"/>
    <w:rsid w:val="007061F0"/>
    <w:rsid w:val="007163CD"/>
    <w:rsid w:val="00717648"/>
    <w:rsid w:val="007274E3"/>
    <w:rsid w:val="007277E7"/>
    <w:rsid w:val="00727D4B"/>
    <w:rsid w:val="0073198B"/>
    <w:rsid w:val="00731F50"/>
    <w:rsid w:val="00744CFA"/>
    <w:rsid w:val="00744F3C"/>
    <w:rsid w:val="00746B09"/>
    <w:rsid w:val="00750DDB"/>
    <w:rsid w:val="007517AA"/>
    <w:rsid w:val="00752F99"/>
    <w:rsid w:val="00764C0C"/>
    <w:rsid w:val="0076515F"/>
    <w:rsid w:val="007654A6"/>
    <w:rsid w:val="007677B9"/>
    <w:rsid w:val="007A2954"/>
    <w:rsid w:val="007B07E1"/>
    <w:rsid w:val="007B270D"/>
    <w:rsid w:val="007B2E27"/>
    <w:rsid w:val="007B3516"/>
    <w:rsid w:val="007B4966"/>
    <w:rsid w:val="007B4D92"/>
    <w:rsid w:val="007B6884"/>
    <w:rsid w:val="007C5490"/>
    <w:rsid w:val="007C5874"/>
    <w:rsid w:val="007C6BA9"/>
    <w:rsid w:val="007D08EE"/>
    <w:rsid w:val="007D3E76"/>
    <w:rsid w:val="007E0626"/>
    <w:rsid w:val="007E4FD0"/>
    <w:rsid w:val="007E62F8"/>
    <w:rsid w:val="007F0E36"/>
    <w:rsid w:val="007F2C7A"/>
    <w:rsid w:val="0080094A"/>
    <w:rsid w:val="00802579"/>
    <w:rsid w:val="00805329"/>
    <w:rsid w:val="008133C4"/>
    <w:rsid w:val="00822606"/>
    <w:rsid w:val="00822C2B"/>
    <w:rsid w:val="00827627"/>
    <w:rsid w:val="0083745D"/>
    <w:rsid w:val="00845588"/>
    <w:rsid w:val="00847C60"/>
    <w:rsid w:val="00850294"/>
    <w:rsid w:val="00855B39"/>
    <w:rsid w:val="0086198F"/>
    <w:rsid w:val="0086206E"/>
    <w:rsid w:val="00862DDE"/>
    <w:rsid w:val="00872D5E"/>
    <w:rsid w:val="00882A2E"/>
    <w:rsid w:val="00883CFE"/>
    <w:rsid w:val="008972CD"/>
    <w:rsid w:val="008A08E2"/>
    <w:rsid w:val="008A6D7B"/>
    <w:rsid w:val="008A6FF5"/>
    <w:rsid w:val="008B2FC6"/>
    <w:rsid w:val="008C03BC"/>
    <w:rsid w:val="008C63A7"/>
    <w:rsid w:val="008D3899"/>
    <w:rsid w:val="008D4046"/>
    <w:rsid w:val="008E04BE"/>
    <w:rsid w:val="008F14C8"/>
    <w:rsid w:val="008F3261"/>
    <w:rsid w:val="008F5942"/>
    <w:rsid w:val="0090239A"/>
    <w:rsid w:val="00902C11"/>
    <w:rsid w:val="009044B8"/>
    <w:rsid w:val="0090705A"/>
    <w:rsid w:val="00907227"/>
    <w:rsid w:val="00910ACC"/>
    <w:rsid w:val="009214F2"/>
    <w:rsid w:val="00923B96"/>
    <w:rsid w:val="00925615"/>
    <w:rsid w:val="00926377"/>
    <w:rsid w:val="00934101"/>
    <w:rsid w:val="00942370"/>
    <w:rsid w:val="00943880"/>
    <w:rsid w:val="00951680"/>
    <w:rsid w:val="009516FF"/>
    <w:rsid w:val="00953745"/>
    <w:rsid w:val="00962274"/>
    <w:rsid w:val="00966A4E"/>
    <w:rsid w:val="0097268A"/>
    <w:rsid w:val="00972D09"/>
    <w:rsid w:val="0098063C"/>
    <w:rsid w:val="009850E5"/>
    <w:rsid w:val="00991A57"/>
    <w:rsid w:val="009A2064"/>
    <w:rsid w:val="009B4543"/>
    <w:rsid w:val="009B5750"/>
    <w:rsid w:val="009D190A"/>
    <w:rsid w:val="009D19A8"/>
    <w:rsid w:val="009D64D5"/>
    <w:rsid w:val="009E07AB"/>
    <w:rsid w:val="009E4C0F"/>
    <w:rsid w:val="00A01C9C"/>
    <w:rsid w:val="00A04902"/>
    <w:rsid w:val="00A0665F"/>
    <w:rsid w:val="00A12043"/>
    <w:rsid w:val="00A12601"/>
    <w:rsid w:val="00A245D4"/>
    <w:rsid w:val="00A338CE"/>
    <w:rsid w:val="00A34934"/>
    <w:rsid w:val="00A40FDA"/>
    <w:rsid w:val="00A422E8"/>
    <w:rsid w:val="00A43926"/>
    <w:rsid w:val="00A43DE8"/>
    <w:rsid w:val="00A44DFB"/>
    <w:rsid w:val="00A476E7"/>
    <w:rsid w:val="00A5114D"/>
    <w:rsid w:val="00A52153"/>
    <w:rsid w:val="00A52B0D"/>
    <w:rsid w:val="00A531BE"/>
    <w:rsid w:val="00A5392C"/>
    <w:rsid w:val="00A6091F"/>
    <w:rsid w:val="00A60D3B"/>
    <w:rsid w:val="00A635FD"/>
    <w:rsid w:val="00A67794"/>
    <w:rsid w:val="00A802A1"/>
    <w:rsid w:val="00A832DB"/>
    <w:rsid w:val="00A8479D"/>
    <w:rsid w:val="00A87D44"/>
    <w:rsid w:val="00A94452"/>
    <w:rsid w:val="00A9528A"/>
    <w:rsid w:val="00AA27C7"/>
    <w:rsid w:val="00AA3650"/>
    <w:rsid w:val="00AB4682"/>
    <w:rsid w:val="00AB47D5"/>
    <w:rsid w:val="00AB5783"/>
    <w:rsid w:val="00AB707D"/>
    <w:rsid w:val="00AC253D"/>
    <w:rsid w:val="00AC696D"/>
    <w:rsid w:val="00AE0E33"/>
    <w:rsid w:val="00AE2E3B"/>
    <w:rsid w:val="00AF07E3"/>
    <w:rsid w:val="00AF1211"/>
    <w:rsid w:val="00AF161A"/>
    <w:rsid w:val="00AF33F9"/>
    <w:rsid w:val="00AF3DD3"/>
    <w:rsid w:val="00B055B5"/>
    <w:rsid w:val="00B06F4C"/>
    <w:rsid w:val="00B120B3"/>
    <w:rsid w:val="00B20464"/>
    <w:rsid w:val="00B261E2"/>
    <w:rsid w:val="00B30916"/>
    <w:rsid w:val="00B41CE3"/>
    <w:rsid w:val="00B51D00"/>
    <w:rsid w:val="00B52096"/>
    <w:rsid w:val="00B73C50"/>
    <w:rsid w:val="00B83588"/>
    <w:rsid w:val="00B848AB"/>
    <w:rsid w:val="00B922D2"/>
    <w:rsid w:val="00B9451F"/>
    <w:rsid w:val="00BA3A6A"/>
    <w:rsid w:val="00BA577D"/>
    <w:rsid w:val="00BA58E1"/>
    <w:rsid w:val="00BA6A33"/>
    <w:rsid w:val="00BB6D3B"/>
    <w:rsid w:val="00BB7FAE"/>
    <w:rsid w:val="00BC027A"/>
    <w:rsid w:val="00BC4FBE"/>
    <w:rsid w:val="00BD052D"/>
    <w:rsid w:val="00BE005D"/>
    <w:rsid w:val="00BE18D4"/>
    <w:rsid w:val="00BF3FE9"/>
    <w:rsid w:val="00BF6128"/>
    <w:rsid w:val="00C102DF"/>
    <w:rsid w:val="00C14F39"/>
    <w:rsid w:val="00C16600"/>
    <w:rsid w:val="00C16896"/>
    <w:rsid w:val="00C17F3B"/>
    <w:rsid w:val="00C369CE"/>
    <w:rsid w:val="00C37415"/>
    <w:rsid w:val="00C410A0"/>
    <w:rsid w:val="00C43475"/>
    <w:rsid w:val="00C47A0C"/>
    <w:rsid w:val="00C51B8F"/>
    <w:rsid w:val="00C825BD"/>
    <w:rsid w:val="00C8298A"/>
    <w:rsid w:val="00CA2474"/>
    <w:rsid w:val="00CA29AB"/>
    <w:rsid w:val="00CA5455"/>
    <w:rsid w:val="00CB24C1"/>
    <w:rsid w:val="00CB3C54"/>
    <w:rsid w:val="00CB4C87"/>
    <w:rsid w:val="00CC134A"/>
    <w:rsid w:val="00CD0B4C"/>
    <w:rsid w:val="00CD287B"/>
    <w:rsid w:val="00CD74CE"/>
    <w:rsid w:val="00CE1566"/>
    <w:rsid w:val="00CE5C7F"/>
    <w:rsid w:val="00D02439"/>
    <w:rsid w:val="00D0266B"/>
    <w:rsid w:val="00D04EF3"/>
    <w:rsid w:val="00D12C19"/>
    <w:rsid w:val="00D15B1A"/>
    <w:rsid w:val="00D17F0F"/>
    <w:rsid w:val="00D27603"/>
    <w:rsid w:val="00D3525D"/>
    <w:rsid w:val="00D4496D"/>
    <w:rsid w:val="00D50DA5"/>
    <w:rsid w:val="00D53874"/>
    <w:rsid w:val="00D61A7E"/>
    <w:rsid w:val="00D62E02"/>
    <w:rsid w:val="00D65F4B"/>
    <w:rsid w:val="00D756DA"/>
    <w:rsid w:val="00D86598"/>
    <w:rsid w:val="00D87D0D"/>
    <w:rsid w:val="00D944C1"/>
    <w:rsid w:val="00D970E9"/>
    <w:rsid w:val="00DA3A37"/>
    <w:rsid w:val="00DB7F5D"/>
    <w:rsid w:val="00DC5961"/>
    <w:rsid w:val="00DD1B34"/>
    <w:rsid w:val="00DD57D8"/>
    <w:rsid w:val="00DE1ED0"/>
    <w:rsid w:val="00DE2E92"/>
    <w:rsid w:val="00DE7372"/>
    <w:rsid w:val="00DF2223"/>
    <w:rsid w:val="00DF3903"/>
    <w:rsid w:val="00DF6241"/>
    <w:rsid w:val="00DF6FC0"/>
    <w:rsid w:val="00E1341C"/>
    <w:rsid w:val="00E224AD"/>
    <w:rsid w:val="00E23E73"/>
    <w:rsid w:val="00E32990"/>
    <w:rsid w:val="00E33738"/>
    <w:rsid w:val="00E41CE8"/>
    <w:rsid w:val="00E44E1F"/>
    <w:rsid w:val="00E47CF0"/>
    <w:rsid w:val="00E549E5"/>
    <w:rsid w:val="00E55AD3"/>
    <w:rsid w:val="00E61616"/>
    <w:rsid w:val="00E64272"/>
    <w:rsid w:val="00E666E0"/>
    <w:rsid w:val="00E67169"/>
    <w:rsid w:val="00E72E23"/>
    <w:rsid w:val="00E77D06"/>
    <w:rsid w:val="00E80737"/>
    <w:rsid w:val="00E82150"/>
    <w:rsid w:val="00E85E09"/>
    <w:rsid w:val="00E91522"/>
    <w:rsid w:val="00E91C9B"/>
    <w:rsid w:val="00E93D28"/>
    <w:rsid w:val="00EA56CD"/>
    <w:rsid w:val="00EA5B56"/>
    <w:rsid w:val="00EA6F5C"/>
    <w:rsid w:val="00EB0F4F"/>
    <w:rsid w:val="00EB417B"/>
    <w:rsid w:val="00EC16A0"/>
    <w:rsid w:val="00EC3C10"/>
    <w:rsid w:val="00ED5A61"/>
    <w:rsid w:val="00ED6CE4"/>
    <w:rsid w:val="00EE6D83"/>
    <w:rsid w:val="00EF0092"/>
    <w:rsid w:val="00EF6F6E"/>
    <w:rsid w:val="00F03756"/>
    <w:rsid w:val="00F0789A"/>
    <w:rsid w:val="00F07D78"/>
    <w:rsid w:val="00F11849"/>
    <w:rsid w:val="00F12264"/>
    <w:rsid w:val="00F17130"/>
    <w:rsid w:val="00F21045"/>
    <w:rsid w:val="00F22ECB"/>
    <w:rsid w:val="00F23A26"/>
    <w:rsid w:val="00F2638B"/>
    <w:rsid w:val="00F33E84"/>
    <w:rsid w:val="00F34669"/>
    <w:rsid w:val="00F36E63"/>
    <w:rsid w:val="00F4041C"/>
    <w:rsid w:val="00F45EF8"/>
    <w:rsid w:val="00F50960"/>
    <w:rsid w:val="00F531D2"/>
    <w:rsid w:val="00F55524"/>
    <w:rsid w:val="00F61914"/>
    <w:rsid w:val="00FA2CDC"/>
    <w:rsid w:val="00FB1FF0"/>
    <w:rsid w:val="00FB3EC8"/>
    <w:rsid w:val="00FB6884"/>
    <w:rsid w:val="00FB7E10"/>
    <w:rsid w:val="00FD0662"/>
    <w:rsid w:val="00FD51C8"/>
    <w:rsid w:val="00FE6FF7"/>
    <w:rsid w:val="00FF64DF"/>
    <w:rsid w:val="00FF76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1E"/>
  </w:style>
  <w:style w:type="paragraph" w:styleId="Footer">
    <w:name w:val="footer"/>
    <w:basedOn w:val="Normal"/>
    <w:link w:val="FooterChar"/>
    <w:uiPriority w:val="99"/>
    <w:unhideWhenUsed/>
    <w:rsid w:val="0021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1E"/>
  </w:style>
  <w:style w:type="paragraph" w:styleId="BalloonText">
    <w:name w:val="Balloon Text"/>
    <w:basedOn w:val="Normal"/>
    <w:link w:val="BalloonTextChar"/>
    <w:uiPriority w:val="99"/>
    <w:semiHidden/>
    <w:unhideWhenUsed/>
    <w:rsid w:val="0021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1E"/>
    <w:rPr>
      <w:rFonts w:ascii="Tahoma" w:hAnsi="Tahoma" w:cs="Tahoma"/>
      <w:sz w:val="16"/>
      <w:szCs w:val="16"/>
    </w:rPr>
  </w:style>
  <w:style w:type="paragraph" w:styleId="ListParagraph">
    <w:name w:val="List Paragraph"/>
    <w:basedOn w:val="Normal"/>
    <w:uiPriority w:val="34"/>
    <w:qFormat/>
    <w:rsid w:val="00210D1E"/>
    <w:pPr>
      <w:ind w:left="720"/>
      <w:contextualSpacing/>
    </w:pPr>
  </w:style>
  <w:style w:type="table" w:styleId="TableGrid">
    <w:name w:val="Table Grid"/>
    <w:basedOn w:val="TableNormal"/>
    <w:uiPriority w:val="59"/>
    <w:rsid w:val="00AF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70"/>
    <w:rPr>
      <w:sz w:val="16"/>
      <w:szCs w:val="16"/>
    </w:rPr>
  </w:style>
  <w:style w:type="paragraph" w:styleId="CommentText">
    <w:name w:val="annotation text"/>
    <w:basedOn w:val="Normal"/>
    <w:link w:val="CommentTextChar"/>
    <w:uiPriority w:val="99"/>
    <w:semiHidden/>
    <w:unhideWhenUsed/>
    <w:rsid w:val="00942370"/>
    <w:pPr>
      <w:spacing w:line="240" w:lineRule="auto"/>
    </w:pPr>
    <w:rPr>
      <w:sz w:val="20"/>
      <w:szCs w:val="20"/>
    </w:rPr>
  </w:style>
  <w:style w:type="character" w:customStyle="1" w:styleId="CommentTextChar">
    <w:name w:val="Comment Text Char"/>
    <w:basedOn w:val="DefaultParagraphFont"/>
    <w:link w:val="CommentText"/>
    <w:uiPriority w:val="99"/>
    <w:semiHidden/>
    <w:rsid w:val="00942370"/>
    <w:rPr>
      <w:sz w:val="20"/>
      <w:szCs w:val="20"/>
    </w:rPr>
  </w:style>
  <w:style w:type="paragraph" w:styleId="CommentSubject">
    <w:name w:val="annotation subject"/>
    <w:basedOn w:val="CommentText"/>
    <w:next w:val="CommentText"/>
    <w:link w:val="CommentSubjectChar"/>
    <w:uiPriority w:val="99"/>
    <w:semiHidden/>
    <w:unhideWhenUsed/>
    <w:rsid w:val="00942370"/>
    <w:rPr>
      <w:b/>
      <w:bCs/>
    </w:rPr>
  </w:style>
  <w:style w:type="character" w:customStyle="1" w:styleId="CommentSubjectChar">
    <w:name w:val="Comment Subject Char"/>
    <w:basedOn w:val="CommentTextChar"/>
    <w:link w:val="CommentSubject"/>
    <w:uiPriority w:val="99"/>
    <w:semiHidden/>
    <w:rsid w:val="00942370"/>
    <w:rPr>
      <w:b/>
      <w:bCs/>
      <w:sz w:val="20"/>
      <w:szCs w:val="20"/>
    </w:rPr>
  </w:style>
  <w:style w:type="paragraph" w:customStyle="1" w:styleId="Default">
    <w:name w:val="Default"/>
    <w:rsid w:val="00DA3A37"/>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764C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BC0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27A"/>
    <w:rPr>
      <w:sz w:val="20"/>
      <w:szCs w:val="20"/>
    </w:rPr>
  </w:style>
  <w:style w:type="character" w:styleId="FootnoteReference">
    <w:name w:val="footnote reference"/>
    <w:basedOn w:val="DefaultParagraphFont"/>
    <w:uiPriority w:val="99"/>
    <w:semiHidden/>
    <w:unhideWhenUsed/>
    <w:rsid w:val="00BC0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1E"/>
  </w:style>
  <w:style w:type="paragraph" w:styleId="Footer">
    <w:name w:val="footer"/>
    <w:basedOn w:val="Normal"/>
    <w:link w:val="FooterChar"/>
    <w:uiPriority w:val="99"/>
    <w:unhideWhenUsed/>
    <w:rsid w:val="00210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1E"/>
  </w:style>
  <w:style w:type="paragraph" w:styleId="BalloonText">
    <w:name w:val="Balloon Text"/>
    <w:basedOn w:val="Normal"/>
    <w:link w:val="BalloonTextChar"/>
    <w:uiPriority w:val="99"/>
    <w:semiHidden/>
    <w:unhideWhenUsed/>
    <w:rsid w:val="0021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1E"/>
    <w:rPr>
      <w:rFonts w:ascii="Tahoma" w:hAnsi="Tahoma" w:cs="Tahoma"/>
      <w:sz w:val="16"/>
      <w:szCs w:val="16"/>
    </w:rPr>
  </w:style>
  <w:style w:type="paragraph" w:styleId="ListParagraph">
    <w:name w:val="List Paragraph"/>
    <w:basedOn w:val="Normal"/>
    <w:uiPriority w:val="34"/>
    <w:qFormat/>
    <w:rsid w:val="00210D1E"/>
    <w:pPr>
      <w:ind w:left="720"/>
      <w:contextualSpacing/>
    </w:pPr>
  </w:style>
  <w:style w:type="table" w:styleId="TableGrid">
    <w:name w:val="Table Grid"/>
    <w:basedOn w:val="TableNormal"/>
    <w:uiPriority w:val="59"/>
    <w:rsid w:val="00AF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2370"/>
    <w:rPr>
      <w:sz w:val="16"/>
      <w:szCs w:val="16"/>
    </w:rPr>
  </w:style>
  <w:style w:type="paragraph" w:styleId="CommentText">
    <w:name w:val="annotation text"/>
    <w:basedOn w:val="Normal"/>
    <w:link w:val="CommentTextChar"/>
    <w:uiPriority w:val="99"/>
    <w:semiHidden/>
    <w:unhideWhenUsed/>
    <w:rsid w:val="00942370"/>
    <w:pPr>
      <w:spacing w:line="240" w:lineRule="auto"/>
    </w:pPr>
    <w:rPr>
      <w:sz w:val="20"/>
      <w:szCs w:val="20"/>
    </w:rPr>
  </w:style>
  <w:style w:type="character" w:customStyle="1" w:styleId="CommentTextChar">
    <w:name w:val="Comment Text Char"/>
    <w:basedOn w:val="DefaultParagraphFont"/>
    <w:link w:val="CommentText"/>
    <w:uiPriority w:val="99"/>
    <w:semiHidden/>
    <w:rsid w:val="00942370"/>
    <w:rPr>
      <w:sz w:val="20"/>
      <w:szCs w:val="20"/>
    </w:rPr>
  </w:style>
  <w:style w:type="paragraph" w:styleId="CommentSubject">
    <w:name w:val="annotation subject"/>
    <w:basedOn w:val="CommentText"/>
    <w:next w:val="CommentText"/>
    <w:link w:val="CommentSubjectChar"/>
    <w:uiPriority w:val="99"/>
    <w:semiHidden/>
    <w:unhideWhenUsed/>
    <w:rsid w:val="00942370"/>
    <w:rPr>
      <w:b/>
      <w:bCs/>
    </w:rPr>
  </w:style>
  <w:style w:type="character" w:customStyle="1" w:styleId="CommentSubjectChar">
    <w:name w:val="Comment Subject Char"/>
    <w:basedOn w:val="CommentTextChar"/>
    <w:link w:val="CommentSubject"/>
    <w:uiPriority w:val="99"/>
    <w:semiHidden/>
    <w:rsid w:val="00942370"/>
    <w:rPr>
      <w:b/>
      <w:bCs/>
      <w:sz w:val="20"/>
      <w:szCs w:val="20"/>
    </w:rPr>
  </w:style>
  <w:style w:type="paragraph" w:customStyle="1" w:styleId="Default">
    <w:name w:val="Default"/>
    <w:rsid w:val="00DA3A37"/>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764C0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BC0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27A"/>
    <w:rPr>
      <w:sz w:val="20"/>
      <w:szCs w:val="20"/>
    </w:rPr>
  </w:style>
  <w:style w:type="character" w:styleId="FootnoteReference">
    <w:name w:val="footnote reference"/>
    <w:basedOn w:val="DefaultParagraphFont"/>
    <w:uiPriority w:val="99"/>
    <w:semiHidden/>
    <w:unhideWhenUsed/>
    <w:rsid w:val="00BC0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4C173B-C57F-46AF-8590-231F60A9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PSG 4 Work Group 4 SOP_Draft</vt:lpstr>
    </vt:vector>
  </TitlesOfParts>
  <Company>Microsoft</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 4 Work Group 4 SOP_Draft</dc:title>
  <dc:creator>laurel</dc:creator>
  <cp:lastModifiedBy>Laurel Robertson</cp:lastModifiedBy>
  <cp:revision>32</cp:revision>
  <cp:lastPrinted>2015-12-22T12:49:00Z</cp:lastPrinted>
  <dcterms:created xsi:type="dcterms:W3CDTF">2016-03-05T15:15:00Z</dcterms:created>
  <dcterms:modified xsi:type="dcterms:W3CDTF">2016-03-07T12:44:00Z</dcterms:modified>
</cp:coreProperties>
</file>