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55" w:rsidRPr="00781219" w:rsidRDefault="00A94F5F">
      <w:pPr>
        <w:rPr>
          <w:rFonts w:ascii="Century Gothic" w:hAnsi="Century Gothic"/>
          <w:b/>
          <w:sz w:val="20"/>
          <w:szCs w:val="20"/>
          <w:u w:val="single"/>
        </w:rPr>
      </w:pPr>
      <w:bookmarkStart w:id="0" w:name="_GoBack"/>
      <w:bookmarkEnd w:id="0"/>
      <w:r>
        <w:rPr>
          <w:rFonts w:ascii="Century Gothic" w:hAnsi="Century Gothic"/>
          <w:b/>
          <w:sz w:val="20"/>
          <w:szCs w:val="20"/>
          <w:u w:val="single"/>
        </w:rPr>
        <w:t>LIST OF INDICATORS FOR THE WESTERN CAPE STATE OF THE COAST REPORT</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03"/>
        <w:gridCol w:w="3639"/>
        <w:gridCol w:w="5129"/>
        <w:gridCol w:w="1577"/>
      </w:tblGrid>
      <w:tr w:rsidR="00AC7E97" w:rsidRPr="00781219" w:rsidTr="00AC7E97">
        <w:trPr>
          <w:tblHeader/>
        </w:trPr>
        <w:tc>
          <w:tcPr>
            <w:tcW w:w="706" w:type="pct"/>
            <w:shd w:val="clear" w:color="auto" w:fill="001489"/>
          </w:tcPr>
          <w:p w:rsidR="005C2880" w:rsidRPr="00D53D7E" w:rsidRDefault="005C2880" w:rsidP="00A038AC">
            <w:pPr>
              <w:spacing w:line="240" w:lineRule="auto"/>
              <w:jc w:val="center"/>
              <w:rPr>
                <w:rFonts w:ascii="Century Gothic" w:hAnsi="Century Gothic"/>
                <w:b/>
                <w:sz w:val="20"/>
                <w:szCs w:val="20"/>
              </w:rPr>
            </w:pPr>
            <w:r w:rsidRPr="00D53D7E">
              <w:rPr>
                <w:rFonts w:ascii="Century Gothic" w:hAnsi="Century Gothic"/>
                <w:b/>
                <w:sz w:val="20"/>
                <w:szCs w:val="20"/>
              </w:rPr>
              <w:t>Theme</w:t>
            </w:r>
          </w:p>
        </w:tc>
        <w:tc>
          <w:tcPr>
            <w:tcW w:w="607" w:type="pct"/>
            <w:shd w:val="clear" w:color="auto" w:fill="001489"/>
            <w:noWrap/>
            <w:vAlign w:val="center"/>
          </w:tcPr>
          <w:p w:rsidR="005C2880" w:rsidRPr="00781219" w:rsidRDefault="005C2880" w:rsidP="00A038AC">
            <w:pPr>
              <w:spacing w:line="240" w:lineRule="auto"/>
              <w:jc w:val="center"/>
              <w:rPr>
                <w:rFonts w:ascii="Century Gothic" w:hAnsi="Century Gothic"/>
                <w:b/>
                <w:sz w:val="20"/>
                <w:szCs w:val="20"/>
              </w:rPr>
            </w:pPr>
            <w:r w:rsidRPr="00781219">
              <w:rPr>
                <w:rFonts w:ascii="Century Gothic" w:hAnsi="Century Gothic"/>
                <w:b/>
                <w:sz w:val="20"/>
                <w:szCs w:val="20"/>
              </w:rPr>
              <w:t>DEA&amp;DP Code</w:t>
            </w:r>
          </w:p>
        </w:tc>
        <w:tc>
          <w:tcPr>
            <w:tcW w:w="1297" w:type="pct"/>
            <w:shd w:val="clear" w:color="auto" w:fill="001489"/>
            <w:vAlign w:val="center"/>
          </w:tcPr>
          <w:p w:rsidR="005C2880" w:rsidRPr="00781219" w:rsidRDefault="005C2880" w:rsidP="00A038AC">
            <w:pPr>
              <w:spacing w:line="240" w:lineRule="auto"/>
              <w:jc w:val="center"/>
              <w:rPr>
                <w:rFonts w:ascii="Century Gothic" w:hAnsi="Century Gothic"/>
                <w:b/>
                <w:sz w:val="20"/>
                <w:szCs w:val="20"/>
              </w:rPr>
            </w:pPr>
            <w:r w:rsidRPr="00781219">
              <w:rPr>
                <w:rFonts w:ascii="Century Gothic" w:hAnsi="Century Gothic"/>
                <w:b/>
                <w:sz w:val="20"/>
                <w:szCs w:val="20"/>
              </w:rPr>
              <w:t>Indicator Name</w:t>
            </w:r>
          </w:p>
        </w:tc>
        <w:tc>
          <w:tcPr>
            <w:tcW w:w="1828" w:type="pct"/>
            <w:shd w:val="clear" w:color="auto" w:fill="001489"/>
            <w:vAlign w:val="center"/>
          </w:tcPr>
          <w:p w:rsidR="005C2880" w:rsidRPr="00781219" w:rsidRDefault="005C2880" w:rsidP="00A038AC">
            <w:pPr>
              <w:spacing w:line="240" w:lineRule="auto"/>
              <w:jc w:val="center"/>
              <w:rPr>
                <w:rFonts w:ascii="Century Gothic" w:hAnsi="Century Gothic"/>
                <w:b/>
                <w:sz w:val="20"/>
                <w:szCs w:val="20"/>
              </w:rPr>
            </w:pPr>
            <w:r w:rsidRPr="00781219">
              <w:rPr>
                <w:rFonts w:ascii="Century Gothic" w:hAnsi="Century Gothic"/>
                <w:b/>
                <w:sz w:val="20"/>
                <w:szCs w:val="20"/>
              </w:rPr>
              <w:t>Indicator Definition</w:t>
            </w:r>
          </w:p>
        </w:tc>
        <w:tc>
          <w:tcPr>
            <w:tcW w:w="562" w:type="pct"/>
            <w:shd w:val="clear" w:color="auto" w:fill="001489"/>
            <w:vAlign w:val="center"/>
          </w:tcPr>
          <w:p w:rsidR="005C2880" w:rsidRPr="00781219" w:rsidRDefault="005C2880" w:rsidP="00A038AC">
            <w:pPr>
              <w:spacing w:line="240" w:lineRule="auto"/>
              <w:jc w:val="center"/>
              <w:rPr>
                <w:rFonts w:ascii="Century Gothic" w:hAnsi="Century Gothic"/>
                <w:b/>
                <w:sz w:val="20"/>
                <w:szCs w:val="20"/>
              </w:rPr>
            </w:pPr>
            <w:r w:rsidRPr="00781219">
              <w:rPr>
                <w:rFonts w:ascii="Century Gothic" w:hAnsi="Century Gothic"/>
                <w:b/>
                <w:sz w:val="20"/>
                <w:szCs w:val="20"/>
              </w:rPr>
              <w:t>DPSIR</w:t>
            </w:r>
          </w:p>
          <w:p w:rsidR="005C2880" w:rsidRPr="00781219" w:rsidRDefault="005C2880" w:rsidP="00A038AC">
            <w:pPr>
              <w:spacing w:line="240" w:lineRule="auto"/>
              <w:jc w:val="center"/>
              <w:rPr>
                <w:rFonts w:ascii="Century Gothic" w:hAnsi="Century Gothic"/>
                <w:b/>
                <w:sz w:val="20"/>
                <w:szCs w:val="20"/>
              </w:rPr>
            </w:pPr>
            <w:r w:rsidRPr="00781219">
              <w:rPr>
                <w:rFonts w:ascii="Century Gothic" w:hAnsi="Century Gothic"/>
                <w:b/>
                <w:sz w:val="20"/>
                <w:szCs w:val="20"/>
              </w:rPr>
              <w:t>Classification</w:t>
            </w:r>
          </w:p>
        </w:tc>
      </w:tr>
      <w:tr w:rsidR="00A94F5F" w:rsidRPr="00781219" w:rsidTr="00AC7E97">
        <w:tc>
          <w:tcPr>
            <w:tcW w:w="706" w:type="pct"/>
            <w:vMerge w:val="restart"/>
          </w:tcPr>
          <w:p w:rsidR="00A94F5F" w:rsidRPr="00D53D7E" w:rsidRDefault="00A94F5F" w:rsidP="00A038AC">
            <w:pPr>
              <w:spacing w:line="240" w:lineRule="auto"/>
              <w:jc w:val="both"/>
              <w:rPr>
                <w:rFonts w:ascii="Century Gothic" w:hAnsi="Century Gothic"/>
                <w:b/>
                <w:sz w:val="20"/>
                <w:szCs w:val="20"/>
              </w:rPr>
            </w:pPr>
            <w:r w:rsidRPr="00D53D7E">
              <w:rPr>
                <w:rFonts w:ascii="Century Gothic" w:hAnsi="Century Gothic"/>
                <w:b/>
                <w:sz w:val="20"/>
                <w:szCs w:val="20"/>
              </w:rPr>
              <w:t>COASTAL BIODIVERSITY</w:t>
            </w: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HB01</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Protection of priority areas</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distribution of protected areas along the coast in the key habitat areas (terrestrial and marine)</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HB02</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Transformation of threatened ecosystems</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Percentage of threated ecosystems transformed</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Impact</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HB03</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Invasive alien species</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invasive alien species per taxonomic group that are found in the marine, estuarine and terrestrial coastal environment. If possible, the spatial distribution of invasive alien species per taxonomic group in the form of a map.</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HB04</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 xml:space="preserve">Vulnerable and endangered coastal species </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population trends of IUCN Red Listed species  that occur along the coast (marine, estuarine and  terrestrial components), assessed as changes in the species’ risk categories</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Impact</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HB05</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Strandings of marine animals</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 xml:space="preserve">The number of and type of marine animal strandings </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Impact</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HB06</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 xml:space="preserve">Conservation targets </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number of marine and coastal protected areas declared compared to the proposed targets</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shd w:val="clear" w:color="auto" w:fill="auto"/>
            <w:noWrap/>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HB07</w:t>
            </w:r>
          </w:p>
        </w:tc>
        <w:tc>
          <w:tcPr>
            <w:tcW w:w="1297"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Entanglements with nets</w:t>
            </w:r>
          </w:p>
        </w:tc>
        <w:tc>
          <w:tcPr>
            <w:tcW w:w="1828" w:type="pct"/>
            <w:shd w:val="clear" w:color="auto" w:fill="auto"/>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incidents per annum of entanglement of whales.</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Pressure</w:t>
            </w:r>
          </w:p>
        </w:tc>
      </w:tr>
      <w:tr w:rsidR="00AC7E97" w:rsidRPr="00781219" w:rsidTr="00AC7E97">
        <w:tc>
          <w:tcPr>
            <w:tcW w:w="706" w:type="pct"/>
            <w:vMerge w:val="restart"/>
          </w:tcPr>
          <w:p w:rsidR="005C2880" w:rsidRPr="00D53D7E" w:rsidRDefault="005C2880" w:rsidP="00A94F5F">
            <w:pPr>
              <w:spacing w:line="240" w:lineRule="auto"/>
              <w:rPr>
                <w:rFonts w:ascii="Century Gothic" w:hAnsi="Century Gothic"/>
                <w:b/>
                <w:sz w:val="20"/>
                <w:szCs w:val="20"/>
              </w:rPr>
            </w:pPr>
            <w:r w:rsidRPr="00D53D7E">
              <w:rPr>
                <w:rFonts w:ascii="Century Gothic" w:hAnsi="Century Gothic"/>
                <w:b/>
                <w:sz w:val="20"/>
                <w:szCs w:val="20"/>
              </w:rPr>
              <w:t>ESTUARIES</w:t>
            </w: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E01</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Estuarine health</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Classification of estuary health as per the SANBI Estuary Health Index</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Impact</w:t>
            </w:r>
          </w:p>
        </w:tc>
      </w:tr>
      <w:tr w:rsidR="00AC7E97" w:rsidRPr="00781219" w:rsidTr="00AC7E97">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E02</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Benthic communities</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Benthic communities index</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Impact</w:t>
            </w:r>
          </w:p>
        </w:tc>
      </w:tr>
      <w:tr w:rsidR="00AC7E97" w:rsidRPr="00781219" w:rsidTr="00AC7E97">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E03</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Land use in the estuarine functional zone</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 xml:space="preserve">The different types of land uses and covers that occur in the EFZ of estuaries (report on </w:t>
            </w:r>
            <w:r w:rsidRPr="00781219">
              <w:rPr>
                <w:rFonts w:ascii="Century Gothic" w:hAnsi="Century Gothic"/>
                <w:sz w:val="20"/>
                <w:szCs w:val="20"/>
              </w:rPr>
              <w:lastRenderedPageBreak/>
              <w:t>development in the coastal area using type and extent/ %of total area)</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lastRenderedPageBreak/>
              <w:t>State</w:t>
            </w:r>
          </w:p>
        </w:tc>
      </w:tr>
      <w:tr w:rsidR="00AC7E97" w:rsidRPr="00781219" w:rsidTr="00AC7E97">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E04</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Estuarine breaching</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Number of applications by Responsible Management Authorities for mouth breaching</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E05</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Sand mining operations</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Number of licensed salt mining operations in the Western Cape</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Pressure</w:t>
            </w:r>
          </w:p>
        </w:tc>
      </w:tr>
      <w:tr w:rsidR="00AC7E97" w:rsidRPr="00781219" w:rsidTr="00AC7E97">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E06</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Estuarine Management Plans</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The percentage of estuarine management plans completed</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E07</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Estuary Management</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Percentage of estuaries with bodies (RMAs) implementing management plans inclusive of their monitoring plans</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trHeight w:val="1376"/>
        </w:trPr>
        <w:tc>
          <w:tcPr>
            <w:tcW w:w="706" w:type="pct"/>
            <w:vMerge/>
          </w:tcPr>
          <w:p w:rsidR="005C2880" w:rsidRPr="00D53D7E" w:rsidRDefault="005C2880" w:rsidP="00A038AC">
            <w:pPr>
              <w:spacing w:line="240" w:lineRule="auto"/>
              <w:jc w:val="center"/>
              <w:rPr>
                <w:rFonts w:ascii="Century Gothic" w:hAnsi="Century Gothic"/>
                <w:b/>
                <w:sz w:val="20"/>
                <w:szCs w:val="20"/>
              </w:rPr>
            </w:pPr>
          </w:p>
        </w:tc>
        <w:tc>
          <w:tcPr>
            <w:tcW w:w="607"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E08</w:t>
            </w:r>
          </w:p>
        </w:tc>
        <w:tc>
          <w:tcPr>
            <w:tcW w:w="1297"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Ecological reserve of rivers</w:t>
            </w:r>
          </w:p>
        </w:tc>
        <w:tc>
          <w:tcPr>
            <w:tcW w:w="1828" w:type="pct"/>
            <w:vAlign w:val="center"/>
          </w:tcPr>
          <w:p w:rsidR="005C2880" w:rsidRPr="00781219" w:rsidRDefault="005C2880" w:rsidP="00A038AC">
            <w:pPr>
              <w:spacing w:line="240" w:lineRule="auto"/>
              <w:jc w:val="both"/>
              <w:rPr>
                <w:rFonts w:ascii="Century Gothic" w:hAnsi="Century Gothic"/>
                <w:sz w:val="20"/>
                <w:szCs w:val="20"/>
              </w:rPr>
            </w:pPr>
            <w:r w:rsidRPr="00781219">
              <w:rPr>
                <w:rFonts w:ascii="Century Gothic" w:hAnsi="Century Gothic"/>
                <w:sz w:val="20"/>
                <w:szCs w:val="20"/>
              </w:rPr>
              <w:t>Number of river systems within the Western Cape that have had their ecological reserve determined (in-stream flow requirement and estuarine flow requirement) and secondly, the number of systems meeting the required protocols.</w:t>
            </w:r>
          </w:p>
        </w:tc>
        <w:tc>
          <w:tcPr>
            <w:tcW w:w="562" w:type="pct"/>
            <w:vAlign w:val="center"/>
          </w:tcPr>
          <w:p w:rsidR="005C2880" w:rsidRPr="00781219" w:rsidRDefault="005C2880" w:rsidP="00A038AC">
            <w:pPr>
              <w:spacing w:line="240" w:lineRule="auto"/>
              <w:jc w:val="center"/>
              <w:rPr>
                <w:rFonts w:ascii="Century Gothic" w:hAnsi="Century Gothic"/>
                <w:sz w:val="20"/>
                <w:szCs w:val="20"/>
              </w:rPr>
            </w:pPr>
            <w:r w:rsidRPr="00781219">
              <w:rPr>
                <w:rFonts w:ascii="Century Gothic" w:hAnsi="Century Gothic"/>
                <w:sz w:val="20"/>
                <w:szCs w:val="20"/>
              </w:rPr>
              <w:t>Response</w:t>
            </w:r>
          </w:p>
        </w:tc>
      </w:tr>
      <w:tr w:rsidR="00A94F5F" w:rsidRPr="00781219" w:rsidTr="00AC7E97">
        <w:trPr>
          <w:cantSplit/>
          <w:trHeight w:val="576"/>
        </w:trPr>
        <w:tc>
          <w:tcPr>
            <w:tcW w:w="706" w:type="pct"/>
            <w:vMerge w:val="restart"/>
          </w:tcPr>
          <w:p w:rsidR="00A94F5F" w:rsidRPr="00D53D7E" w:rsidRDefault="00A94F5F" w:rsidP="00A038AC">
            <w:pPr>
              <w:spacing w:line="240" w:lineRule="auto"/>
              <w:jc w:val="both"/>
              <w:rPr>
                <w:rFonts w:ascii="Century Gothic" w:hAnsi="Century Gothic"/>
                <w:b/>
                <w:sz w:val="20"/>
                <w:szCs w:val="20"/>
              </w:rPr>
            </w:pPr>
            <w:r w:rsidRPr="00D53D7E">
              <w:rPr>
                <w:rFonts w:ascii="Century Gothic" w:hAnsi="Century Gothic"/>
                <w:b/>
                <w:sz w:val="20"/>
                <w:szCs w:val="20"/>
              </w:rPr>
              <w:t>COASTAL SOCIAL AND ECONOMIC CONDITIONS</w:t>
            </w: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CE01</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Contribution of coastal resources to the provincial economy</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Contribution of the coast to Gross Geographic Product (GGP) and GDP</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Driver</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CE02</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Value of mining activities</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Extent and types of mining in the coastal zone (percentage of each) and the Contribution of each mining sector to the provincial GDP</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Pressure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CE03</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Agricultural activities in the coastal zone</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Percentage of coast utilised for agricultural activities and contribution of agricultural activities to the provincial GDP.</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Pressure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CE04</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Value of ports</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Total contribution of ports to the GDP of the province (incl. value of ship cargo) / metric tonnes</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Driver</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CE05</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Aquaculture activities</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Extent and types of aquaculture activities in the coastal zone (percentage of each) and Contribution of each aquaculture activity to the provincial GDP</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Pressure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CE06</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Blue Flag beaches (and water quality compliance</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total number of Blue Flag beaches per year, as a percentage of the number of major beaches in the province.</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State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CE07</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Opportunities created for employment</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WftC – number of work opportunities created and budget allocated.</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Response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CE08</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Economic activities along the coast</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Change in GDP per coastal district / town.</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Driver</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S01</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Population density in the coastal zone / municipalities</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Change in population density (people /km</w:t>
            </w:r>
            <w:r w:rsidRPr="00781219">
              <w:rPr>
                <w:rFonts w:ascii="Century Gothic" w:hAnsi="Century Gothic"/>
                <w:sz w:val="20"/>
                <w:szCs w:val="20"/>
                <w:vertAlign w:val="superscript"/>
              </w:rPr>
              <w:t>2</w:t>
            </w:r>
            <w:r w:rsidRPr="00781219">
              <w:rPr>
                <w:rFonts w:ascii="Century Gothic" w:hAnsi="Century Gothic"/>
                <w:sz w:val="20"/>
                <w:szCs w:val="20"/>
              </w:rPr>
              <w:t>) in coastal municipalities.</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Pressure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S02</w:t>
            </w:r>
          </w:p>
        </w:tc>
        <w:tc>
          <w:tcPr>
            <w:tcW w:w="1297" w:type="pct"/>
          </w:tcPr>
          <w:p w:rsidR="00A94F5F" w:rsidRPr="00781219" w:rsidRDefault="00A94F5F" w:rsidP="000D1770">
            <w:pPr>
              <w:spacing w:line="240" w:lineRule="auto"/>
              <w:rPr>
                <w:rFonts w:ascii="Century Gothic" w:hAnsi="Century Gothic"/>
                <w:sz w:val="20"/>
                <w:szCs w:val="20"/>
              </w:rPr>
            </w:pPr>
            <w:r w:rsidRPr="000D1770">
              <w:rPr>
                <w:rFonts w:ascii="Century Gothic" w:hAnsi="Century Gothic"/>
                <w:sz w:val="20"/>
                <w:szCs w:val="20"/>
              </w:rPr>
              <w:t>Coastal heritage resources (index that being used by SAHRA)</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and type of heritage resources, monuments on the coast that have been declared and are under formal protection; and what percentage of these have a Heritage Management Plan that is being implemented.</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Response</w:t>
            </w:r>
          </w:p>
        </w:tc>
      </w:tr>
      <w:tr w:rsidR="00A94F5F" w:rsidRPr="00781219" w:rsidTr="00AC7E97">
        <w:trPr>
          <w:cantSplit/>
          <w:trHeight w:val="576"/>
        </w:trPr>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S03</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Communication of coastal issues</w:t>
            </w:r>
          </w:p>
        </w:tc>
        <w:tc>
          <w:tcPr>
            <w:tcW w:w="1828" w:type="pct"/>
            <w:vAlign w:val="center"/>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Presence of recognised stakeholder communication platforms below MCC level.</w:t>
            </w:r>
          </w:p>
        </w:tc>
        <w:tc>
          <w:tcPr>
            <w:tcW w:w="562" w:type="pct"/>
            <w:vAlign w:val="center"/>
          </w:tcPr>
          <w:p w:rsidR="00A94F5F" w:rsidRPr="00781219" w:rsidRDefault="00A94F5F" w:rsidP="00A038AC">
            <w:pPr>
              <w:spacing w:line="240" w:lineRule="auto"/>
              <w:jc w:val="center"/>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vMerge w:val="restart"/>
          </w:tcPr>
          <w:p w:rsidR="00AC7E97" w:rsidRPr="00D53D7E" w:rsidRDefault="00AC7E97" w:rsidP="00A038AC">
            <w:pPr>
              <w:spacing w:line="240" w:lineRule="auto"/>
              <w:jc w:val="both"/>
              <w:rPr>
                <w:rFonts w:ascii="Century Gothic" w:hAnsi="Century Gothic"/>
                <w:b/>
                <w:sz w:val="20"/>
                <w:szCs w:val="20"/>
              </w:rPr>
            </w:pPr>
            <w:r w:rsidRPr="00D53D7E">
              <w:rPr>
                <w:rFonts w:ascii="Century Gothic" w:hAnsi="Century Gothic"/>
                <w:b/>
                <w:sz w:val="20"/>
                <w:szCs w:val="20"/>
              </w:rPr>
              <w:t>COASTAL RESOURCE USE</w:t>
            </w: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RU01</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Exploitation of selected commercial and recreational species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The number of exploited fish species that are currently: collapsed, overexploited, optimum exploitation, underexploited of SBPR/CPUE/mean size trends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Impact</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RU02</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Exploitation of selected commercial and recreational species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No. of people employed per commercial fishery sector</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RU03</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Catches per fishery sector</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The catches (tons) per fishery sector per year (incl. KZN Sardine Run catches)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RU04</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Non-consumptive marine resource use</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No. of boat-based whale watching permits and shark cage diving permits issued</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Driver</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RU05</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Kelp harvesting</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The volume of kelp harvested and the main locations of harvesting in the Province (WC and NC)</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Pressure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RU06</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Total effort per fishing sector</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Number of recreational fishing permits issued per year.</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Pressure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RU07</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Subsistence coastal livelihoods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Number of communities dependent on the coast for subsistence</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Pressure</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RU08</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Small scale fisheries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Number of permits issued for small scale fisheries operations and what percentage of these have been issued to communities that were previously deprived of these rights.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Pressure</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RU09</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Availability of resource species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The distribution and abundance of resource species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State</w:t>
            </w:r>
          </w:p>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Impact</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RU10</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Status of key species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Status of key fisheries species - i.e. IUCN, SASSI</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Impact</w:t>
            </w:r>
          </w:p>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RU11</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Number of fishing/ gathering permits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Number of people fishing / gathering (permits)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Pressure</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RU12</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Percentage/number of species management plans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Percentage / number of species management plans in place.</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RU13</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TOPs monitoring</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Percentage / number of species designated as TOPS.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Impact</w:t>
            </w:r>
          </w:p>
        </w:tc>
      </w:tr>
      <w:tr w:rsidR="00AC7E97" w:rsidRPr="00781219" w:rsidTr="00AC7E97">
        <w:trPr>
          <w:trHeight w:val="764"/>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RU14</w:t>
            </w:r>
          </w:p>
        </w:tc>
        <w:tc>
          <w:tcPr>
            <w:tcW w:w="1297"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Scuba diving permits allocated for MPAs</w:t>
            </w:r>
          </w:p>
        </w:tc>
        <w:tc>
          <w:tcPr>
            <w:tcW w:w="1828"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The number of recreational scuba diving permits allocated annually for MPA’s.</w:t>
            </w:r>
          </w:p>
        </w:tc>
        <w:tc>
          <w:tcPr>
            <w:tcW w:w="562" w:type="pct"/>
            <w:vAlign w:val="center"/>
          </w:tcPr>
          <w:p w:rsidR="00AC7E97" w:rsidRPr="00781219" w:rsidRDefault="00AC7E97" w:rsidP="00A038AC">
            <w:pPr>
              <w:jc w:val="both"/>
              <w:rPr>
                <w:rFonts w:ascii="Century Gothic" w:hAnsi="Century Gothic"/>
                <w:sz w:val="20"/>
                <w:szCs w:val="20"/>
              </w:rPr>
            </w:pPr>
            <w:r w:rsidRPr="00781219">
              <w:rPr>
                <w:rFonts w:ascii="Century Gothic" w:hAnsi="Century Gothic"/>
                <w:sz w:val="20"/>
                <w:szCs w:val="20"/>
              </w:rPr>
              <w:t>Pressure</w:t>
            </w:r>
          </w:p>
        </w:tc>
      </w:tr>
      <w:tr w:rsidR="00A94F5F" w:rsidRPr="00781219" w:rsidTr="00AC7E97">
        <w:tc>
          <w:tcPr>
            <w:tcW w:w="706" w:type="pct"/>
            <w:vMerge w:val="restart"/>
          </w:tcPr>
          <w:p w:rsidR="00A94F5F" w:rsidRPr="00D53D7E" w:rsidRDefault="00A94F5F" w:rsidP="00A038AC">
            <w:pPr>
              <w:spacing w:line="240" w:lineRule="auto"/>
              <w:jc w:val="both"/>
              <w:rPr>
                <w:rFonts w:ascii="Century Gothic" w:hAnsi="Century Gothic"/>
                <w:b/>
                <w:sz w:val="20"/>
                <w:szCs w:val="20"/>
              </w:rPr>
            </w:pPr>
            <w:r w:rsidRPr="00D53D7E">
              <w:rPr>
                <w:rFonts w:ascii="Century Gothic" w:hAnsi="Century Gothic"/>
                <w:b/>
                <w:sz w:val="20"/>
                <w:szCs w:val="20"/>
              </w:rPr>
              <w:t>COASTAL LAND USE</w:t>
            </w: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CA01</w:t>
            </w:r>
          </w:p>
        </w:tc>
        <w:tc>
          <w:tcPr>
            <w:tcW w:w="1297" w:type="pct"/>
          </w:tcPr>
          <w:p w:rsidR="00A94F5F" w:rsidRPr="00781219" w:rsidRDefault="00A94F5F" w:rsidP="00A038AC">
            <w:pPr>
              <w:spacing w:line="240" w:lineRule="auto"/>
              <w:jc w:val="both"/>
              <w:rPr>
                <w:rFonts w:ascii="Century Gothic" w:hAnsi="Century Gothic"/>
                <w:sz w:val="20"/>
                <w:szCs w:val="20"/>
              </w:rPr>
            </w:pPr>
            <w:r>
              <w:rPr>
                <w:rFonts w:ascii="Century Gothic" w:hAnsi="Century Gothic"/>
                <w:sz w:val="20"/>
                <w:szCs w:val="20"/>
              </w:rPr>
              <w:t>E</w:t>
            </w:r>
            <w:r w:rsidRPr="000D1770">
              <w:rPr>
                <w:rFonts w:ascii="Century Gothic" w:hAnsi="Century Gothic"/>
                <w:sz w:val="20"/>
                <w:szCs w:val="20"/>
              </w:rPr>
              <w:t>quitable Access points ( open, controlled, restricted)</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and type of access points along the coast, and the number of Coastal Access audits conducted in the Province (District Level and Metro)</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CA02</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The number of coastal universal access points.</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number of coastal universal access points.</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CA03</w:t>
            </w:r>
          </w:p>
        </w:tc>
        <w:tc>
          <w:tcPr>
            <w:tcW w:w="1297" w:type="pct"/>
          </w:tcPr>
          <w:p w:rsidR="00A94F5F" w:rsidRPr="00781219" w:rsidRDefault="00A94F5F" w:rsidP="00A038AC">
            <w:pPr>
              <w:spacing w:line="240" w:lineRule="auto"/>
              <w:jc w:val="both"/>
              <w:rPr>
                <w:rFonts w:ascii="Century Gothic" w:hAnsi="Century Gothic"/>
                <w:sz w:val="20"/>
                <w:szCs w:val="20"/>
              </w:rPr>
            </w:pPr>
            <w:r w:rsidRPr="00DA331E">
              <w:rPr>
                <w:rFonts w:ascii="Century Gothic" w:hAnsi="Century Gothic"/>
                <w:sz w:val="20"/>
                <w:szCs w:val="20"/>
              </w:rPr>
              <w:t>Provision of coastal access</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number of coastal access strips per municipality across private land.</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CA04</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Land Tenure</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percentage of the coastline that is owned by the state versus community entities in the Province.</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CA05</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Public launch sites</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registered and unregistered launch sites.</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CA06</w:t>
            </w:r>
          </w:p>
        </w:tc>
        <w:tc>
          <w:tcPr>
            <w:tcW w:w="1297" w:type="pct"/>
          </w:tcPr>
          <w:p w:rsidR="00A94F5F" w:rsidRPr="00781219" w:rsidRDefault="00A94F5F" w:rsidP="00A038AC">
            <w:pPr>
              <w:spacing w:line="240" w:lineRule="auto"/>
              <w:jc w:val="both"/>
              <w:rPr>
                <w:rFonts w:ascii="Century Gothic" w:hAnsi="Century Gothic"/>
                <w:sz w:val="20"/>
                <w:szCs w:val="20"/>
              </w:rPr>
            </w:pPr>
            <w:r w:rsidRPr="00DA331E">
              <w:rPr>
                <w:rFonts w:ascii="Century Gothic" w:hAnsi="Century Gothic"/>
                <w:sz w:val="20"/>
                <w:szCs w:val="20"/>
              </w:rPr>
              <w:t>Use of 4x4 vehicles in the coastal zone</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4x4 permits issued for use within the coastal zone – Disaggregate and ensure that the Marine Living Resources Act permitted use is included.</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CA07</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Use of 4x4 vehicles in the coastal zone</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reports of illegal 4X4 driving reported to DEA.</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CA08</w:t>
            </w:r>
          </w:p>
        </w:tc>
        <w:tc>
          <w:tcPr>
            <w:tcW w:w="1297" w:type="pct"/>
          </w:tcPr>
          <w:p w:rsidR="00A94F5F" w:rsidRPr="00781219" w:rsidRDefault="00A94F5F" w:rsidP="00A038AC">
            <w:pPr>
              <w:spacing w:line="240" w:lineRule="auto"/>
              <w:jc w:val="both"/>
              <w:rPr>
                <w:rFonts w:ascii="Century Gothic" w:hAnsi="Century Gothic"/>
                <w:sz w:val="20"/>
                <w:szCs w:val="20"/>
              </w:rPr>
            </w:pPr>
            <w:r w:rsidRPr="00DA331E">
              <w:rPr>
                <w:rFonts w:ascii="Century Gothic" w:hAnsi="Century Gothic"/>
                <w:sz w:val="20"/>
                <w:szCs w:val="20"/>
              </w:rPr>
              <w:t>Coastal access monitoring</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people available for monitoring access.</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CD01</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Proportion of coastline developed</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Percentage of coastline developed, showing change over time in order to give an indication as to the rate of urbanisation.</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Pressure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CD02</w:t>
            </w:r>
          </w:p>
        </w:tc>
        <w:tc>
          <w:tcPr>
            <w:tcW w:w="1297" w:type="pct"/>
          </w:tcPr>
          <w:p w:rsidR="00A94F5F" w:rsidRPr="00781219" w:rsidRDefault="00A94F5F" w:rsidP="00A038AC">
            <w:pPr>
              <w:spacing w:line="240" w:lineRule="auto"/>
              <w:jc w:val="both"/>
              <w:rPr>
                <w:rFonts w:ascii="Century Gothic" w:hAnsi="Century Gothic"/>
                <w:sz w:val="20"/>
                <w:szCs w:val="20"/>
              </w:rPr>
            </w:pPr>
            <w:r w:rsidRPr="000D1770">
              <w:rPr>
                <w:rFonts w:ascii="Century Gothic" w:hAnsi="Century Gothic"/>
                <w:sz w:val="20"/>
                <w:szCs w:val="20"/>
              </w:rPr>
              <w:t>Coastal land use and change</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The different types of land use and covers that occur. Ideally it would report on development in the coastal area using: type and extent / % of total area.</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Pressure</w:t>
            </w:r>
          </w:p>
        </w:tc>
      </w:tr>
      <w:tr w:rsidR="00A94F5F" w:rsidRPr="00781219" w:rsidTr="00AC7E97">
        <w:tc>
          <w:tcPr>
            <w:tcW w:w="706" w:type="pct"/>
            <w:vMerge/>
          </w:tcPr>
          <w:p w:rsidR="00A94F5F" w:rsidRPr="00D53D7E" w:rsidRDefault="00A94F5F" w:rsidP="00A038AC">
            <w:pPr>
              <w:spacing w:line="240" w:lineRule="auto"/>
              <w:jc w:val="both"/>
              <w:rPr>
                <w:rFonts w:ascii="Century Gothic" w:hAnsi="Century Gothic"/>
                <w:b/>
                <w:sz w:val="20"/>
                <w:szCs w:val="20"/>
              </w:rPr>
            </w:pPr>
          </w:p>
        </w:tc>
        <w:tc>
          <w:tcPr>
            <w:tcW w:w="607"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CD03</w:t>
            </w:r>
          </w:p>
        </w:tc>
        <w:tc>
          <w:tcPr>
            <w:tcW w:w="1297" w:type="pct"/>
          </w:tcPr>
          <w:p w:rsidR="00A94F5F" w:rsidRPr="00781219" w:rsidRDefault="00A94F5F" w:rsidP="00A038AC">
            <w:pPr>
              <w:spacing w:line="240" w:lineRule="auto"/>
              <w:jc w:val="both"/>
              <w:rPr>
                <w:rFonts w:ascii="Century Gothic" w:hAnsi="Century Gothic"/>
                <w:sz w:val="20"/>
                <w:szCs w:val="20"/>
              </w:rPr>
            </w:pPr>
            <w:r w:rsidRPr="00DA331E">
              <w:rPr>
                <w:rFonts w:ascii="Century Gothic" w:hAnsi="Century Gothic"/>
                <w:sz w:val="20"/>
                <w:szCs w:val="20"/>
              </w:rPr>
              <w:t>Agricultural activities in the coastal zone</w:t>
            </w:r>
          </w:p>
        </w:tc>
        <w:tc>
          <w:tcPr>
            <w:tcW w:w="1828"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Number of coastal leases issued by CapeNature.</w:t>
            </w:r>
          </w:p>
        </w:tc>
        <w:tc>
          <w:tcPr>
            <w:tcW w:w="562" w:type="pct"/>
          </w:tcPr>
          <w:p w:rsidR="00A94F5F" w:rsidRPr="00781219" w:rsidRDefault="00A94F5F"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vMerge w:val="restart"/>
          </w:tcPr>
          <w:p w:rsidR="00AC7E97" w:rsidRPr="00D53D7E" w:rsidRDefault="00AC7E97" w:rsidP="00A038AC">
            <w:pPr>
              <w:spacing w:line="240" w:lineRule="auto"/>
              <w:jc w:val="both"/>
              <w:rPr>
                <w:rFonts w:ascii="Century Gothic" w:hAnsi="Century Gothic"/>
                <w:b/>
                <w:sz w:val="20"/>
                <w:szCs w:val="20"/>
              </w:rPr>
            </w:pPr>
            <w:r w:rsidRPr="00D53D7E">
              <w:rPr>
                <w:rFonts w:ascii="Century Gothic" w:hAnsi="Century Gothic"/>
                <w:b/>
                <w:sz w:val="20"/>
                <w:szCs w:val="20"/>
              </w:rPr>
              <w:t>COASTAL POLLUTION</w:t>
            </w: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PW02</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 xml:space="preserve">Cost of waste collection </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Kilometres of accessible coastline cleaned by WftC and budget allocated for this task</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PW03</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Pollution incidents along the coast (Oil spills etc.)</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The annual amount (in tonnes) of recorded oil spills and other spillage accidents/alerts along the coast and in South Africa’s EEZ</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PW04</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Prevention /management of pollution incident</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Number of Section 30 approvals granted relating to coastal pollution incidents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PW05</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Prevention /management of pollution incident</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(1) number of discharge outfalls in full compliance with their authorisation, (2) number of discharge outfalls in partial compliance with their authorisation, (3) the number of discharge outfalls currently applying for authorisation, and (4) the number of discharge outfalls that are not authorised.</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PW06</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No. of licenced discharge permits, unlicensed discharge points, compliance with permit</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Total annual wastewater discharged into the marine environment per district municipality and per province.</w:t>
            </w:r>
          </w:p>
          <w:p w:rsidR="00AC7E97" w:rsidRPr="00781219" w:rsidRDefault="00AC7E97" w:rsidP="00A038AC">
            <w:pPr>
              <w:spacing w:line="240" w:lineRule="auto"/>
              <w:jc w:val="both"/>
              <w:rPr>
                <w:rFonts w:ascii="Century Gothic" w:hAnsi="Century Gothic"/>
                <w:sz w:val="20"/>
                <w:szCs w:val="20"/>
              </w:rPr>
            </w:pP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PW07</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Pollutant load entering the sea from land-based sources of pollution</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The location and nature (indicating severity of pressure) of discharge points in relation to sensitive marine and terrestrial coastal areas and Protected Areas. Wastewater excludes stormwater.</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PW08</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Wastewater management score (Green Drop status)</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 xml:space="preserve">Status of wastewater treatment works along the coast. </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val="restart"/>
          </w:tcPr>
          <w:p w:rsidR="00AC7E97" w:rsidRPr="00D53D7E" w:rsidRDefault="00AC7E97" w:rsidP="00A038AC">
            <w:pPr>
              <w:spacing w:line="240" w:lineRule="auto"/>
              <w:jc w:val="both"/>
              <w:rPr>
                <w:rFonts w:ascii="Century Gothic" w:hAnsi="Century Gothic"/>
                <w:b/>
                <w:sz w:val="20"/>
                <w:szCs w:val="20"/>
              </w:rPr>
            </w:pPr>
            <w:r w:rsidRPr="00D53D7E">
              <w:rPr>
                <w:rFonts w:ascii="Century Gothic" w:hAnsi="Century Gothic"/>
                <w:b/>
                <w:sz w:val="20"/>
                <w:szCs w:val="20"/>
              </w:rPr>
              <w:t>COASTAL VULNERABILITY</w:t>
            </w: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CV01</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Coastal management lines (CML)</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Percentage of coastline with an established CML delineated on maps of zoning schemes.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CV02</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Coastal Protection Zone (CPZ)</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Percentage of coastline that has an established CPZ.</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CV03</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Extreme weather events</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Number of extreme weather events that have been reported including: storm surges, flooding, and coastal events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CV04</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Tidal data at ports</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Tidal level at major ports to detect long-term changes in sea level</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Impact</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CV05</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International sea-level rise data</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Climate projections of the Intergovernmental Panel on Climate Change (released every 4 years)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Impact</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CV06</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People at risk</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Percent / number of people located in high risk coastal areas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State</w:t>
            </w:r>
          </w:p>
        </w:tc>
      </w:tr>
      <w:tr w:rsidR="00AC7E97" w:rsidRPr="00781219" w:rsidTr="00AC7E97">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CV07</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Disaster management</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Disaster management budget allocated towards response to risk</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trHeight w:val="383"/>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CV08</w:t>
            </w:r>
          </w:p>
        </w:tc>
        <w:tc>
          <w:tcPr>
            <w:tcW w:w="129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Coastal Risk Profile</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Regular updates of Provincial risk profile with new coastal and estuarine risks.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val="restart"/>
          </w:tcPr>
          <w:p w:rsidR="00AC7E97" w:rsidRPr="00D53D7E" w:rsidRDefault="00AC7E97" w:rsidP="00A038AC">
            <w:pPr>
              <w:spacing w:line="240" w:lineRule="auto"/>
              <w:jc w:val="both"/>
              <w:rPr>
                <w:rFonts w:ascii="Century Gothic" w:hAnsi="Century Gothic"/>
                <w:b/>
                <w:sz w:val="20"/>
                <w:szCs w:val="20"/>
              </w:rPr>
            </w:pPr>
            <w:r w:rsidRPr="00D53D7E">
              <w:rPr>
                <w:rFonts w:ascii="Century Gothic" w:hAnsi="Century Gothic"/>
                <w:b/>
                <w:sz w:val="20"/>
                <w:szCs w:val="20"/>
              </w:rPr>
              <w:t>COOPERATIVE GOVERNANCE</w:t>
            </w: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CG01</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Budget for ICM in the province</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Percentage of province budget allocated to the lead agency (DEA&amp;DP) and number of staff employed by the lead agent for ICM.</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CG02</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Diversity of participation in PCC</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The number of stakeholders participating regularly in the PCC and the range of organisations participating regularly in the PCC</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CG03</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Municipal budget for ICM issues</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Municipal budget allocated and number of staff with a dedicated coastal management responsibility at Metro, District, and Local level.</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CG04</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Municipal coastal committees (MCCs)</w:t>
            </w:r>
          </w:p>
        </w:tc>
        <w:tc>
          <w:tcPr>
            <w:tcW w:w="1828"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 xml:space="preserve">Number of municipalities that have established MCC’s. </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CG05</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Di</w:t>
            </w:r>
            <w:r>
              <w:rPr>
                <w:rFonts w:ascii="Century Gothic" w:hAnsi="Century Gothic"/>
                <w:sz w:val="20"/>
                <w:szCs w:val="20"/>
              </w:rPr>
              <w:t>versity of participation in MCC</w:t>
            </w:r>
          </w:p>
        </w:tc>
        <w:tc>
          <w:tcPr>
            <w:tcW w:w="1828"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The number of people participating regularly in MCCs and the range of organisations participating regularly in MCCs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CG06</w:t>
            </w:r>
          </w:p>
        </w:tc>
        <w:tc>
          <w:tcPr>
            <w:tcW w:w="1297" w:type="pct"/>
          </w:tcPr>
          <w:p w:rsidR="00AC7E97" w:rsidRPr="00781219" w:rsidRDefault="00AC7E97" w:rsidP="004330D6">
            <w:pPr>
              <w:spacing w:line="240" w:lineRule="auto"/>
              <w:rPr>
                <w:rFonts w:ascii="Century Gothic" w:hAnsi="Century Gothic"/>
                <w:sz w:val="20"/>
                <w:szCs w:val="20"/>
              </w:rPr>
            </w:pPr>
            <w:r w:rsidRPr="004330D6">
              <w:rPr>
                <w:rFonts w:ascii="Century Gothic" w:hAnsi="Century Gothic"/>
                <w:sz w:val="20"/>
                <w:szCs w:val="20"/>
              </w:rPr>
              <w:t>Coastal Management Plans</w:t>
            </w:r>
          </w:p>
        </w:tc>
        <w:tc>
          <w:tcPr>
            <w:tcW w:w="1828"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Percentage of municipalities with adopted CMP’s.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CG07</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Capacity for enforcement along the coast</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Number of Environmental Management Inspectors (EMIs) and Fisheries Control Officers employed in the Western Cape Province.</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CG08</w:t>
            </w:r>
          </w:p>
        </w:tc>
        <w:tc>
          <w:tcPr>
            <w:tcW w:w="1297" w:type="pct"/>
          </w:tcPr>
          <w:p w:rsidR="00AC7E97" w:rsidRPr="00781219" w:rsidRDefault="00AC7E97" w:rsidP="004330D6">
            <w:pPr>
              <w:spacing w:line="240" w:lineRule="auto"/>
              <w:jc w:val="both"/>
              <w:rPr>
                <w:rFonts w:ascii="Century Gothic" w:hAnsi="Century Gothic"/>
                <w:sz w:val="20"/>
                <w:szCs w:val="20"/>
              </w:rPr>
            </w:pPr>
            <w:r w:rsidRPr="004330D6">
              <w:rPr>
                <w:rFonts w:ascii="Century Gothic" w:hAnsi="Century Gothic"/>
                <w:sz w:val="20"/>
                <w:szCs w:val="20"/>
              </w:rPr>
              <w:t>Non-compliance</w:t>
            </w:r>
          </w:p>
        </w:tc>
        <w:tc>
          <w:tcPr>
            <w:tcW w:w="1828"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Total number of notices issued for non-compliance against the number of patrols undertaken.</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CG09</w:t>
            </w:r>
          </w:p>
        </w:tc>
        <w:tc>
          <w:tcPr>
            <w:tcW w:w="1297" w:type="pct"/>
          </w:tcPr>
          <w:p w:rsidR="00AC7E97" w:rsidRPr="00781219" w:rsidRDefault="00AC7E97" w:rsidP="004330D6">
            <w:pPr>
              <w:spacing w:line="240" w:lineRule="auto"/>
              <w:jc w:val="both"/>
              <w:rPr>
                <w:rFonts w:ascii="Century Gothic" w:hAnsi="Century Gothic"/>
                <w:sz w:val="20"/>
                <w:szCs w:val="20"/>
              </w:rPr>
            </w:pPr>
            <w:r w:rsidRPr="004330D6">
              <w:rPr>
                <w:rFonts w:ascii="Century Gothic" w:hAnsi="Century Gothic"/>
                <w:sz w:val="20"/>
                <w:szCs w:val="20"/>
              </w:rPr>
              <w:t>Frequency of updating CMPs</w:t>
            </w:r>
          </w:p>
        </w:tc>
        <w:tc>
          <w:tcPr>
            <w:tcW w:w="1828"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Coverage, review and reporting cycles implemented for all spheres of government’s CMPs.</w:t>
            </w:r>
          </w:p>
        </w:tc>
        <w:tc>
          <w:tcPr>
            <w:tcW w:w="562"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Response</w:t>
            </w:r>
          </w:p>
        </w:tc>
      </w:tr>
      <w:tr w:rsidR="00AC7E97" w:rsidRPr="00781219" w:rsidTr="00AC7E97">
        <w:trPr>
          <w:cantSplit/>
        </w:trPr>
        <w:tc>
          <w:tcPr>
            <w:tcW w:w="706" w:type="pct"/>
            <w:vMerge/>
          </w:tcPr>
          <w:p w:rsidR="00AC7E97" w:rsidRPr="00D53D7E" w:rsidRDefault="00AC7E97" w:rsidP="00A038AC">
            <w:pPr>
              <w:spacing w:line="240" w:lineRule="auto"/>
              <w:jc w:val="both"/>
              <w:rPr>
                <w:rFonts w:ascii="Century Gothic" w:hAnsi="Century Gothic"/>
                <w:b/>
                <w:sz w:val="20"/>
                <w:szCs w:val="20"/>
              </w:rPr>
            </w:pPr>
          </w:p>
        </w:tc>
        <w:tc>
          <w:tcPr>
            <w:tcW w:w="607" w:type="pct"/>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CG10</w:t>
            </w:r>
          </w:p>
        </w:tc>
        <w:tc>
          <w:tcPr>
            <w:tcW w:w="1297" w:type="pct"/>
          </w:tcPr>
          <w:p w:rsidR="00AC7E97" w:rsidRPr="00781219" w:rsidRDefault="00AC7E97" w:rsidP="00A038AC">
            <w:pPr>
              <w:spacing w:line="240" w:lineRule="auto"/>
              <w:jc w:val="both"/>
              <w:rPr>
                <w:rFonts w:ascii="Century Gothic" w:hAnsi="Century Gothic"/>
                <w:sz w:val="20"/>
                <w:szCs w:val="20"/>
              </w:rPr>
            </w:pPr>
            <w:r w:rsidRPr="004330D6">
              <w:rPr>
                <w:rFonts w:ascii="Century Gothic" w:hAnsi="Century Gothic"/>
                <w:sz w:val="20"/>
                <w:szCs w:val="20"/>
              </w:rPr>
              <w:t>ICM Governance</w:t>
            </w:r>
          </w:p>
        </w:tc>
        <w:tc>
          <w:tcPr>
            <w:tcW w:w="1828" w:type="pct"/>
            <w:vAlign w:val="center"/>
          </w:tcPr>
          <w:p w:rsidR="00AC7E97" w:rsidRPr="00781219" w:rsidRDefault="00AC7E97" w:rsidP="00A038AC">
            <w:pPr>
              <w:spacing w:line="240" w:lineRule="auto"/>
              <w:jc w:val="both"/>
              <w:rPr>
                <w:rFonts w:ascii="Century Gothic" w:hAnsi="Century Gothic"/>
                <w:sz w:val="20"/>
                <w:szCs w:val="20"/>
              </w:rPr>
            </w:pPr>
            <w:r w:rsidRPr="00781219">
              <w:rPr>
                <w:rFonts w:ascii="Century Gothic" w:hAnsi="Century Gothic"/>
                <w:sz w:val="20"/>
                <w:szCs w:val="20"/>
              </w:rPr>
              <w:t>The number of written agreements that are in place between district and local municipalities to implement municipal functions in terms of the ICM Act, to address capacity and resource constraints.</w:t>
            </w:r>
          </w:p>
        </w:tc>
        <w:tc>
          <w:tcPr>
            <w:tcW w:w="562" w:type="pct"/>
          </w:tcPr>
          <w:p w:rsidR="00AC7E97" w:rsidRPr="00781219" w:rsidRDefault="00AC7E97" w:rsidP="00A038AC">
            <w:pPr>
              <w:spacing w:line="240" w:lineRule="auto"/>
              <w:jc w:val="both"/>
              <w:rPr>
                <w:rFonts w:ascii="Century Gothic" w:hAnsi="Century Gothic"/>
                <w:sz w:val="20"/>
                <w:szCs w:val="20"/>
              </w:rPr>
            </w:pPr>
            <w:r>
              <w:rPr>
                <w:rFonts w:ascii="Century Gothic" w:hAnsi="Century Gothic"/>
                <w:sz w:val="20"/>
                <w:szCs w:val="20"/>
              </w:rPr>
              <w:t>Response</w:t>
            </w:r>
          </w:p>
        </w:tc>
      </w:tr>
    </w:tbl>
    <w:tbl>
      <w:tblPr>
        <w:tblStyle w:val="TableGrid"/>
        <w:tblW w:w="5029" w:type="pct"/>
        <w:tblLook w:val="04A0" w:firstRow="1" w:lastRow="0" w:firstColumn="1" w:lastColumn="0" w:noHBand="0" w:noVBand="1"/>
      </w:tblPr>
      <w:tblGrid>
        <w:gridCol w:w="1982"/>
        <w:gridCol w:w="1704"/>
        <w:gridCol w:w="3682"/>
        <w:gridCol w:w="5101"/>
        <w:gridCol w:w="1560"/>
      </w:tblGrid>
      <w:tr w:rsidR="00AC7E97" w:rsidRPr="00781219" w:rsidTr="00AC7E97">
        <w:tc>
          <w:tcPr>
            <w:tcW w:w="706" w:type="pct"/>
          </w:tcPr>
          <w:p w:rsidR="00AC7E97" w:rsidRPr="00D53D7E" w:rsidRDefault="00AC7E97">
            <w:pPr>
              <w:rPr>
                <w:rFonts w:ascii="Century Gothic" w:hAnsi="Century Gothic"/>
                <w:b/>
                <w:sz w:val="20"/>
                <w:szCs w:val="20"/>
              </w:rPr>
            </w:pPr>
            <w:r w:rsidRPr="00D53D7E">
              <w:rPr>
                <w:rFonts w:ascii="Century Gothic" w:hAnsi="Century Gothic"/>
                <w:b/>
                <w:sz w:val="20"/>
                <w:szCs w:val="20"/>
              </w:rPr>
              <w:t>AWARENESS, EDUCATION AND TRAINING</w:t>
            </w:r>
          </w:p>
        </w:tc>
        <w:tc>
          <w:tcPr>
            <w:tcW w:w="607" w:type="pct"/>
          </w:tcPr>
          <w:p w:rsidR="00AC7E97" w:rsidRPr="00781219" w:rsidRDefault="00AC7E97">
            <w:pPr>
              <w:rPr>
                <w:rFonts w:ascii="Century Gothic" w:hAnsi="Century Gothic"/>
                <w:sz w:val="20"/>
                <w:szCs w:val="20"/>
              </w:rPr>
            </w:pPr>
            <w:r w:rsidRPr="00781219">
              <w:rPr>
                <w:rFonts w:ascii="Century Gothic" w:hAnsi="Century Gothic"/>
                <w:sz w:val="20"/>
                <w:szCs w:val="20"/>
              </w:rPr>
              <w:t>ET01</w:t>
            </w:r>
          </w:p>
        </w:tc>
        <w:tc>
          <w:tcPr>
            <w:tcW w:w="1312" w:type="pct"/>
          </w:tcPr>
          <w:p w:rsidR="00AC7E97" w:rsidRPr="00781219" w:rsidRDefault="00AC7E97" w:rsidP="00453EBC">
            <w:pPr>
              <w:jc w:val="both"/>
              <w:rPr>
                <w:rFonts w:ascii="Century Gothic" w:hAnsi="Century Gothic"/>
                <w:sz w:val="20"/>
                <w:szCs w:val="20"/>
              </w:rPr>
            </w:pPr>
            <w:r w:rsidRPr="004330D6">
              <w:rPr>
                <w:rFonts w:ascii="Century Gothic" w:hAnsi="Century Gothic"/>
                <w:sz w:val="20"/>
                <w:szCs w:val="20"/>
              </w:rPr>
              <w:t>Budget allocated to public awareness, education &amp; Training (Provincial)</w:t>
            </w:r>
          </w:p>
        </w:tc>
        <w:tc>
          <w:tcPr>
            <w:tcW w:w="1818" w:type="pct"/>
          </w:tcPr>
          <w:p w:rsidR="00AC7E97" w:rsidRPr="00781219" w:rsidRDefault="00AC7E97" w:rsidP="00453EBC">
            <w:pPr>
              <w:spacing w:after="160"/>
              <w:jc w:val="both"/>
              <w:rPr>
                <w:rFonts w:ascii="Century Gothic" w:hAnsi="Century Gothic"/>
                <w:sz w:val="20"/>
                <w:szCs w:val="20"/>
              </w:rPr>
            </w:pPr>
            <w:r w:rsidRPr="00781219">
              <w:rPr>
                <w:rFonts w:ascii="Century Gothic" w:hAnsi="Century Gothic"/>
                <w:sz w:val="20"/>
                <w:szCs w:val="20"/>
              </w:rPr>
              <w:t>The number of public awareness sessions/events hosted by the DEA&amp;DP per year</w:t>
            </w:r>
          </w:p>
        </w:tc>
        <w:tc>
          <w:tcPr>
            <w:tcW w:w="556" w:type="pct"/>
          </w:tcPr>
          <w:p w:rsidR="00AC7E97" w:rsidRPr="00781219" w:rsidRDefault="00AC7E97">
            <w:pPr>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tcPr>
          <w:p w:rsidR="00AC7E97" w:rsidRPr="00781219" w:rsidRDefault="00AC7E97">
            <w:pPr>
              <w:rPr>
                <w:rFonts w:ascii="Century Gothic" w:hAnsi="Century Gothic"/>
                <w:sz w:val="20"/>
                <w:szCs w:val="20"/>
              </w:rPr>
            </w:pPr>
          </w:p>
        </w:tc>
        <w:tc>
          <w:tcPr>
            <w:tcW w:w="607" w:type="pct"/>
          </w:tcPr>
          <w:p w:rsidR="00AC7E97" w:rsidRPr="00781219" w:rsidRDefault="00AC7E97">
            <w:pPr>
              <w:rPr>
                <w:rFonts w:ascii="Century Gothic" w:hAnsi="Century Gothic"/>
                <w:sz w:val="20"/>
                <w:szCs w:val="20"/>
              </w:rPr>
            </w:pPr>
            <w:r w:rsidRPr="00781219">
              <w:rPr>
                <w:rFonts w:ascii="Century Gothic" w:hAnsi="Century Gothic"/>
                <w:sz w:val="20"/>
                <w:szCs w:val="20"/>
              </w:rPr>
              <w:t>ET02</w:t>
            </w:r>
          </w:p>
        </w:tc>
        <w:tc>
          <w:tcPr>
            <w:tcW w:w="1312" w:type="pct"/>
          </w:tcPr>
          <w:p w:rsidR="00AC7E97" w:rsidRPr="00781219" w:rsidRDefault="00AC7E97" w:rsidP="00453EBC">
            <w:pPr>
              <w:jc w:val="both"/>
              <w:rPr>
                <w:rFonts w:ascii="Century Gothic" w:hAnsi="Century Gothic"/>
                <w:sz w:val="20"/>
                <w:szCs w:val="20"/>
              </w:rPr>
            </w:pPr>
            <w:r w:rsidRPr="004330D6">
              <w:rPr>
                <w:rFonts w:ascii="Century Gothic" w:hAnsi="Century Gothic"/>
                <w:sz w:val="20"/>
                <w:szCs w:val="20"/>
              </w:rPr>
              <w:t>Visits to aquarium</w:t>
            </w:r>
          </w:p>
        </w:tc>
        <w:tc>
          <w:tcPr>
            <w:tcW w:w="1818" w:type="pct"/>
          </w:tcPr>
          <w:p w:rsidR="00AC7E97" w:rsidRPr="00781219" w:rsidRDefault="00AC7E97" w:rsidP="00453EBC">
            <w:pPr>
              <w:spacing w:after="160"/>
              <w:jc w:val="both"/>
              <w:rPr>
                <w:rFonts w:ascii="Century Gothic" w:hAnsi="Century Gothic"/>
                <w:sz w:val="20"/>
                <w:szCs w:val="20"/>
              </w:rPr>
            </w:pPr>
            <w:r w:rsidRPr="00781219">
              <w:rPr>
                <w:rFonts w:ascii="Century Gothic" w:hAnsi="Century Gothic"/>
                <w:sz w:val="20"/>
                <w:szCs w:val="20"/>
              </w:rPr>
              <w:t>The number of learners passing through the Two Oceans Aquarium and number of learners engaged by their outreach programme per year (Code ET02)</w:t>
            </w:r>
          </w:p>
        </w:tc>
        <w:tc>
          <w:tcPr>
            <w:tcW w:w="556" w:type="pct"/>
          </w:tcPr>
          <w:p w:rsidR="00AC7E97" w:rsidRPr="00781219" w:rsidRDefault="00AC7E97">
            <w:pPr>
              <w:rPr>
                <w:rFonts w:ascii="Century Gothic" w:hAnsi="Century Gothic"/>
                <w:sz w:val="20"/>
                <w:szCs w:val="20"/>
              </w:rPr>
            </w:pPr>
            <w:r w:rsidRPr="00781219">
              <w:rPr>
                <w:rFonts w:ascii="Century Gothic" w:hAnsi="Century Gothic"/>
                <w:sz w:val="20"/>
                <w:szCs w:val="20"/>
              </w:rPr>
              <w:t>Response</w:t>
            </w:r>
          </w:p>
        </w:tc>
      </w:tr>
      <w:tr w:rsidR="00AC7E97" w:rsidRPr="00781219" w:rsidTr="00AC7E97">
        <w:tc>
          <w:tcPr>
            <w:tcW w:w="706" w:type="pct"/>
          </w:tcPr>
          <w:p w:rsidR="00AC7E97" w:rsidRPr="00781219" w:rsidRDefault="00AC7E97">
            <w:pPr>
              <w:rPr>
                <w:rFonts w:ascii="Century Gothic" w:hAnsi="Century Gothic"/>
                <w:sz w:val="20"/>
                <w:szCs w:val="20"/>
              </w:rPr>
            </w:pPr>
          </w:p>
        </w:tc>
        <w:tc>
          <w:tcPr>
            <w:tcW w:w="607" w:type="pct"/>
          </w:tcPr>
          <w:p w:rsidR="00AC7E97" w:rsidRPr="00781219" w:rsidRDefault="00AC7E97">
            <w:pPr>
              <w:rPr>
                <w:rFonts w:ascii="Century Gothic" w:hAnsi="Century Gothic"/>
                <w:sz w:val="20"/>
                <w:szCs w:val="20"/>
              </w:rPr>
            </w:pPr>
            <w:r w:rsidRPr="00781219">
              <w:rPr>
                <w:rFonts w:ascii="Century Gothic" w:hAnsi="Century Gothic"/>
                <w:sz w:val="20"/>
                <w:szCs w:val="20"/>
              </w:rPr>
              <w:t>ET03</w:t>
            </w:r>
          </w:p>
        </w:tc>
        <w:tc>
          <w:tcPr>
            <w:tcW w:w="1312" w:type="pct"/>
          </w:tcPr>
          <w:p w:rsidR="00AC7E97" w:rsidRPr="00781219" w:rsidRDefault="00AC7E97" w:rsidP="00453EBC">
            <w:pPr>
              <w:jc w:val="both"/>
              <w:rPr>
                <w:rFonts w:ascii="Century Gothic" w:hAnsi="Century Gothic"/>
                <w:sz w:val="20"/>
                <w:szCs w:val="20"/>
              </w:rPr>
            </w:pPr>
            <w:r w:rsidRPr="004330D6">
              <w:rPr>
                <w:rFonts w:ascii="Century Gothic" w:hAnsi="Century Gothic"/>
                <w:sz w:val="20"/>
                <w:szCs w:val="20"/>
              </w:rPr>
              <w:t>Extent of training and capacity building ( Trends for capacity in coastal management, provinces and DEA)</w:t>
            </w:r>
          </w:p>
        </w:tc>
        <w:tc>
          <w:tcPr>
            <w:tcW w:w="1818" w:type="pct"/>
          </w:tcPr>
          <w:p w:rsidR="00AC7E97" w:rsidRPr="00781219" w:rsidRDefault="00AC7E97" w:rsidP="00453EBC">
            <w:pPr>
              <w:spacing w:after="160"/>
              <w:jc w:val="both"/>
              <w:rPr>
                <w:rFonts w:ascii="Century Gothic" w:hAnsi="Century Gothic"/>
                <w:sz w:val="20"/>
                <w:szCs w:val="20"/>
              </w:rPr>
            </w:pPr>
            <w:r w:rsidRPr="00781219">
              <w:rPr>
                <w:rFonts w:ascii="Century Gothic" w:hAnsi="Century Gothic"/>
                <w:sz w:val="20"/>
                <w:szCs w:val="20"/>
              </w:rPr>
              <w:t>The number of persons receiving coastal training/capacity building per year</w:t>
            </w:r>
          </w:p>
        </w:tc>
        <w:tc>
          <w:tcPr>
            <w:tcW w:w="556" w:type="pct"/>
          </w:tcPr>
          <w:p w:rsidR="00AC7E97" w:rsidRPr="00781219" w:rsidRDefault="00AC7E97">
            <w:pPr>
              <w:rPr>
                <w:rFonts w:ascii="Century Gothic" w:hAnsi="Century Gothic"/>
                <w:sz w:val="20"/>
                <w:szCs w:val="20"/>
              </w:rPr>
            </w:pPr>
            <w:r w:rsidRPr="00781219">
              <w:rPr>
                <w:rFonts w:ascii="Century Gothic" w:hAnsi="Century Gothic"/>
                <w:sz w:val="20"/>
                <w:szCs w:val="20"/>
              </w:rPr>
              <w:t>Response</w:t>
            </w:r>
          </w:p>
        </w:tc>
      </w:tr>
    </w:tbl>
    <w:p w:rsidR="00453EBC" w:rsidRPr="00781219" w:rsidRDefault="00453EBC">
      <w:pPr>
        <w:rPr>
          <w:rFonts w:ascii="Century Gothic" w:hAnsi="Century Gothic"/>
          <w:sz w:val="20"/>
          <w:szCs w:val="20"/>
        </w:rPr>
      </w:pPr>
    </w:p>
    <w:p w:rsidR="00453EBC" w:rsidRDefault="00453EBC"/>
    <w:p w:rsidR="00453EBC" w:rsidRDefault="00453EBC"/>
    <w:sectPr w:rsidR="00453EBC" w:rsidSect="005C28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BC"/>
    <w:rsid w:val="000D1770"/>
    <w:rsid w:val="003B6A55"/>
    <w:rsid w:val="004330D6"/>
    <w:rsid w:val="00453EBC"/>
    <w:rsid w:val="005C2880"/>
    <w:rsid w:val="00781219"/>
    <w:rsid w:val="008B555E"/>
    <w:rsid w:val="00A94F5F"/>
    <w:rsid w:val="00AC7E97"/>
    <w:rsid w:val="00D53D7E"/>
    <w:rsid w:val="00DA331E"/>
    <w:rsid w:val="00F871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01AE-CAF3-4053-9519-56FE6C0C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53EBC"/>
    <w:pPr>
      <w:spacing w:after="200"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453EBC"/>
    <w:rPr>
      <w:rFonts w:ascii="Century Gothic" w:hAnsi="Century Gothic"/>
      <w:sz w:val="20"/>
      <w:szCs w:val="20"/>
    </w:rPr>
  </w:style>
  <w:style w:type="character" w:styleId="CommentReference">
    <w:name w:val="annotation reference"/>
    <w:basedOn w:val="DefaultParagraphFont"/>
    <w:uiPriority w:val="99"/>
    <w:semiHidden/>
    <w:unhideWhenUsed/>
    <w:rsid w:val="00453EBC"/>
    <w:rPr>
      <w:sz w:val="16"/>
      <w:szCs w:val="16"/>
    </w:rPr>
  </w:style>
  <w:style w:type="paragraph" w:styleId="BalloonText">
    <w:name w:val="Balloon Text"/>
    <w:basedOn w:val="Normal"/>
    <w:link w:val="BalloonTextChar"/>
    <w:uiPriority w:val="99"/>
    <w:semiHidden/>
    <w:unhideWhenUsed/>
    <w:rsid w:val="0045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BC"/>
    <w:rPr>
      <w:rFonts w:ascii="Segoe UI" w:hAnsi="Segoe UI" w:cs="Segoe UI"/>
      <w:sz w:val="18"/>
      <w:szCs w:val="18"/>
    </w:rPr>
  </w:style>
  <w:style w:type="table" w:styleId="TableGrid">
    <w:name w:val="Table Grid"/>
    <w:basedOn w:val="TableNormal"/>
    <w:uiPriority w:val="39"/>
    <w:rsid w:val="004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Hunter</dc:creator>
  <cp:keywords/>
  <dc:description/>
  <cp:lastModifiedBy>Stefanie Venter</cp:lastModifiedBy>
  <cp:revision>2</cp:revision>
  <dcterms:created xsi:type="dcterms:W3CDTF">2019-02-11T07:45:00Z</dcterms:created>
  <dcterms:modified xsi:type="dcterms:W3CDTF">2019-02-11T07:45:00Z</dcterms:modified>
</cp:coreProperties>
</file>