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1BB6E" w14:textId="77777777" w:rsidR="00613ABF" w:rsidRDefault="00613ABF" w:rsidP="003769AD">
      <w:pPr>
        <w:jc w:val="center"/>
        <w:rPr>
          <w:rFonts w:ascii="Century Gothic" w:hAnsi="Century Gothic"/>
          <w:color w:val="000000" w:themeColor="text1"/>
          <w:sz w:val="32"/>
        </w:rPr>
      </w:pPr>
      <w:r w:rsidRPr="00505771">
        <w:rPr>
          <w:rFonts w:ascii="Century Gothic" w:hAnsi="Century Gothic"/>
          <w:b/>
          <w:noProof/>
          <w:color w:val="000000" w:themeColor="text1"/>
          <w:lang w:eastAsia="en-ZA"/>
        </w:rPr>
        <w:drawing>
          <wp:anchor distT="0" distB="0" distL="114300" distR="114300" simplePos="0" relativeHeight="251660288" behindDoc="0" locked="0" layoutInCell="1" allowOverlap="1" wp14:anchorId="51D19BB8" wp14:editId="714FD2AF">
            <wp:simplePos x="0" y="0"/>
            <wp:positionH relativeFrom="column">
              <wp:posOffset>0</wp:posOffset>
            </wp:positionH>
            <wp:positionV relativeFrom="paragraph">
              <wp:posOffset>414020</wp:posOffset>
            </wp:positionV>
            <wp:extent cx="1752600" cy="5575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7530"/>
                    </a:xfrm>
                    <a:prstGeom prst="rect">
                      <a:avLst/>
                    </a:prstGeom>
                    <a:noFill/>
                    <a:ln>
                      <a:noFill/>
                    </a:ln>
                  </pic:spPr>
                </pic:pic>
              </a:graphicData>
            </a:graphic>
          </wp:anchor>
        </w:drawing>
      </w:r>
    </w:p>
    <w:p w14:paraId="4CF04673" w14:textId="77777777" w:rsidR="00613ABF" w:rsidRDefault="00613ABF" w:rsidP="003769AD">
      <w:pPr>
        <w:jc w:val="center"/>
        <w:rPr>
          <w:rFonts w:ascii="Century Gothic" w:hAnsi="Century Gothic"/>
          <w:color w:val="000000" w:themeColor="text1"/>
          <w:sz w:val="32"/>
        </w:rPr>
      </w:pPr>
      <w:r w:rsidRPr="00671C01">
        <w:rPr>
          <w:rFonts w:ascii="Century Gothic" w:hAnsi="Century Gothic"/>
          <w:b/>
          <w:color w:val="000000" w:themeColor="text1"/>
          <w:sz w:val="36"/>
          <w:szCs w:val="36"/>
        </w:rPr>
        <w:t>APPRENTICESHIP GAME CHANGER</w:t>
      </w:r>
    </w:p>
    <w:p w14:paraId="38CB7B4D" w14:textId="77777777" w:rsidR="00613ABF" w:rsidRDefault="00613ABF" w:rsidP="003769AD">
      <w:pPr>
        <w:jc w:val="center"/>
        <w:rPr>
          <w:rFonts w:ascii="Century Gothic" w:hAnsi="Century Gothic"/>
          <w:color w:val="000000" w:themeColor="text1"/>
          <w:sz w:val="32"/>
        </w:rPr>
      </w:pPr>
      <w:r w:rsidRPr="00505771">
        <w:rPr>
          <w:rFonts w:ascii="Century Gothic" w:hAnsi="Century Gothic"/>
          <w:b/>
          <w:noProof/>
          <w:color w:val="000000" w:themeColor="text1"/>
          <w:lang w:eastAsia="en-ZA"/>
        </w:rPr>
        <w:drawing>
          <wp:inline distT="0" distB="0" distL="0" distR="0" wp14:anchorId="1E52728C" wp14:editId="5C0118C9">
            <wp:extent cx="5731510" cy="23246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32467"/>
                    </a:xfrm>
                    <a:prstGeom prst="rect">
                      <a:avLst/>
                    </a:prstGeom>
                    <a:noFill/>
                    <a:ln>
                      <a:noFill/>
                    </a:ln>
                  </pic:spPr>
                </pic:pic>
              </a:graphicData>
            </a:graphic>
          </wp:inline>
        </w:drawing>
      </w:r>
    </w:p>
    <w:p w14:paraId="7146046C" w14:textId="77777777" w:rsidR="00613ABF" w:rsidRDefault="00613ABF" w:rsidP="003769AD">
      <w:pPr>
        <w:jc w:val="center"/>
        <w:rPr>
          <w:rFonts w:ascii="Century Gothic" w:hAnsi="Century Gothic"/>
          <w:color w:val="000000" w:themeColor="text1"/>
          <w:sz w:val="32"/>
        </w:rPr>
      </w:pPr>
    </w:p>
    <w:p w14:paraId="2624A011" w14:textId="77777777" w:rsidR="003769AD" w:rsidRPr="00170E64" w:rsidRDefault="003769AD" w:rsidP="003769AD">
      <w:pPr>
        <w:jc w:val="center"/>
        <w:rPr>
          <w:rFonts w:ascii="Century Gothic" w:hAnsi="Century Gothic"/>
          <w:color w:val="000000" w:themeColor="text1"/>
          <w:sz w:val="32"/>
        </w:rPr>
      </w:pPr>
      <w:r w:rsidRPr="00170E64">
        <w:rPr>
          <w:rFonts w:ascii="Century Gothic" w:hAnsi="Century Gothic"/>
          <w:color w:val="000000" w:themeColor="text1"/>
          <w:sz w:val="32"/>
        </w:rPr>
        <w:t>Guideline</w:t>
      </w:r>
    </w:p>
    <w:p w14:paraId="661D7754" w14:textId="77777777" w:rsidR="003769AD" w:rsidRPr="00170E64" w:rsidRDefault="003769AD" w:rsidP="003769AD">
      <w:pPr>
        <w:jc w:val="center"/>
        <w:rPr>
          <w:rFonts w:ascii="Century Gothic" w:hAnsi="Century Gothic"/>
          <w:color w:val="000000" w:themeColor="text1"/>
          <w:sz w:val="32"/>
        </w:rPr>
      </w:pPr>
      <w:r w:rsidRPr="00170E64">
        <w:rPr>
          <w:rFonts w:ascii="Century Gothic" w:hAnsi="Century Gothic"/>
          <w:color w:val="000000" w:themeColor="text1"/>
          <w:sz w:val="32"/>
        </w:rPr>
        <w:t>Technical Advisory Forums (TAFs)</w:t>
      </w:r>
    </w:p>
    <w:p w14:paraId="045291F1" w14:textId="032480DD" w:rsidR="003769AD" w:rsidRPr="00170E64" w:rsidRDefault="000C5C25" w:rsidP="003769AD">
      <w:pPr>
        <w:jc w:val="center"/>
        <w:rPr>
          <w:rFonts w:ascii="Century Gothic" w:hAnsi="Century Gothic"/>
          <w:color w:val="000000" w:themeColor="text1"/>
        </w:rPr>
      </w:pPr>
      <w:r>
        <w:rPr>
          <w:rFonts w:ascii="Century Gothic" w:hAnsi="Century Gothic"/>
          <w:color w:val="000000" w:themeColor="text1"/>
          <w:sz w:val="32"/>
        </w:rPr>
        <w:t>16 August</w:t>
      </w:r>
      <w:r w:rsidR="009E7CFC">
        <w:rPr>
          <w:rFonts w:ascii="Century Gothic" w:hAnsi="Century Gothic"/>
          <w:color w:val="000000" w:themeColor="text1"/>
          <w:sz w:val="32"/>
        </w:rPr>
        <w:t xml:space="preserve"> 2017</w:t>
      </w:r>
      <w:r w:rsidR="003769AD" w:rsidRPr="00170E64">
        <w:rPr>
          <w:rFonts w:ascii="Century Gothic" w:hAnsi="Century Gothic"/>
          <w:color w:val="000000" w:themeColor="text1"/>
          <w:sz w:val="32"/>
        </w:rPr>
        <w:t xml:space="preserve"> </w:t>
      </w:r>
      <w:r w:rsidR="003769AD" w:rsidRPr="00170E64">
        <w:rPr>
          <w:rFonts w:ascii="Century Gothic" w:hAnsi="Century Gothic"/>
          <w:color w:val="000000" w:themeColor="text1"/>
        </w:rPr>
        <w:br w:type="page"/>
      </w:r>
    </w:p>
    <w:p w14:paraId="6EB56FA3" w14:textId="77777777" w:rsidR="003769AD" w:rsidRPr="00170E64" w:rsidRDefault="003769AD" w:rsidP="003769AD">
      <w:pPr>
        <w:pStyle w:val="ListParagraph"/>
        <w:numPr>
          <w:ilvl w:val="0"/>
          <w:numId w:val="9"/>
        </w:numPr>
        <w:spacing w:after="0"/>
        <w:jc w:val="both"/>
        <w:rPr>
          <w:rFonts w:ascii="Century Gothic" w:hAnsi="Century Gothic"/>
          <w:b/>
          <w:color w:val="000000" w:themeColor="text1"/>
        </w:rPr>
      </w:pPr>
      <w:r w:rsidRPr="00170E64">
        <w:rPr>
          <w:rFonts w:ascii="Century Gothic" w:hAnsi="Century Gothic"/>
          <w:b/>
          <w:color w:val="000000" w:themeColor="text1"/>
        </w:rPr>
        <w:lastRenderedPageBreak/>
        <w:t xml:space="preserve">Background: The </w:t>
      </w:r>
      <w:r w:rsidR="00293021" w:rsidRPr="00170E64">
        <w:rPr>
          <w:rFonts w:ascii="Century Gothic" w:hAnsi="Century Gothic"/>
          <w:b/>
          <w:color w:val="000000" w:themeColor="text1"/>
        </w:rPr>
        <w:t xml:space="preserve">Apprenticeship </w:t>
      </w:r>
      <w:r w:rsidRPr="00170E64">
        <w:rPr>
          <w:rFonts w:ascii="Century Gothic" w:hAnsi="Century Gothic"/>
          <w:b/>
          <w:color w:val="000000" w:themeColor="text1"/>
        </w:rPr>
        <w:t>Game Changer</w:t>
      </w:r>
    </w:p>
    <w:p w14:paraId="4188BD0C" w14:textId="77777777" w:rsidR="003769AD" w:rsidRPr="00170E64" w:rsidRDefault="003769AD" w:rsidP="003769AD">
      <w:pPr>
        <w:jc w:val="both"/>
        <w:rPr>
          <w:rFonts w:ascii="Century Gothic" w:hAnsi="Century Gothic"/>
          <w:color w:val="000000" w:themeColor="text1"/>
        </w:rPr>
      </w:pPr>
      <w:r w:rsidRPr="00170E64">
        <w:rPr>
          <w:rFonts w:ascii="Century Gothic" w:hAnsi="Century Gothic"/>
          <w:noProof/>
          <w:color w:val="000000" w:themeColor="text1"/>
          <w:lang w:eastAsia="en-ZA"/>
        </w:rPr>
        <mc:AlternateContent>
          <mc:Choice Requires="wps">
            <w:drawing>
              <wp:anchor distT="0" distB="0" distL="114300" distR="114300" simplePos="0" relativeHeight="251658240" behindDoc="0" locked="0" layoutInCell="1" allowOverlap="1" wp14:anchorId="3120AC24" wp14:editId="4D78A1BE">
                <wp:simplePos x="0" y="0"/>
                <wp:positionH relativeFrom="column">
                  <wp:posOffset>9525</wp:posOffset>
                </wp:positionH>
                <wp:positionV relativeFrom="paragraph">
                  <wp:posOffset>161290</wp:posOffset>
                </wp:positionV>
                <wp:extent cx="6172200" cy="876300"/>
                <wp:effectExtent l="0" t="0" r="0" b="0"/>
                <wp:wrapNone/>
                <wp:docPr id="25" name="TextBox 6"/>
                <wp:cNvGraphicFramePr/>
                <a:graphic xmlns:a="http://schemas.openxmlformats.org/drawingml/2006/main">
                  <a:graphicData uri="http://schemas.microsoft.com/office/word/2010/wordprocessingShape">
                    <wps:wsp>
                      <wps:cNvSpPr txBox="1"/>
                      <wps:spPr>
                        <a:xfrm>
                          <a:off x="0" y="0"/>
                          <a:ext cx="6172200" cy="876300"/>
                        </a:xfrm>
                        <a:prstGeom prst="rect">
                          <a:avLst/>
                        </a:prstGeom>
                        <a:solidFill>
                          <a:schemeClr val="tx2">
                            <a:lumMod val="75000"/>
                          </a:schemeClr>
                        </a:solidFill>
                      </wps:spPr>
                      <wps:txbx>
                        <w:txbxContent>
                          <w:p w14:paraId="37C1520B" w14:textId="77777777" w:rsidR="003769AD" w:rsidRDefault="003769AD" w:rsidP="003769AD">
                            <w:pPr>
                              <w:pStyle w:val="NormalWeb"/>
                              <w:spacing w:before="120" w:after="120"/>
                              <w:rPr>
                                <w:rFonts w:asciiTheme="minorHAnsi" w:hAnsi="Calibri" w:cstheme="minorBidi"/>
                                <w:color w:val="FFFFFF" w:themeColor="background1"/>
                                <w:kern w:val="24"/>
                                <w:sz w:val="28"/>
                                <w:szCs w:val="36"/>
                              </w:rPr>
                            </w:pPr>
                            <w:r w:rsidRPr="00790026">
                              <w:rPr>
                                <w:rFonts w:asciiTheme="minorHAnsi" w:hAnsi="Calibri" w:cstheme="minorBidi"/>
                                <w:i/>
                                <w:iCs/>
                                <w:color w:val="FFFFFF" w:themeColor="background1"/>
                                <w:kern w:val="24"/>
                                <w:sz w:val="28"/>
                                <w:szCs w:val="36"/>
                              </w:rPr>
                              <w:t>It has become increasingly evident that we need a new way of delivery, one that is uncompromisingly results-focused and performance-driven</w:t>
                            </w:r>
                            <w:r w:rsidRPr="00790026">
                              <w:rPr>
                                <w:rFonts w:asciiTheme="minorHAnsi" w:hAnsi="Calibri" w:cstheme="minorBidi"/>
                                <w:color w:val="FFFFFF" w:themeColor="background1"/>
                                <w:kern w:val="24"/>
                                <w:sz w:val="28"/>
                                <w:szCs w:val="36"/>
                              </w:rPr>
                              <w:t xml:space="preserve">. </w:t>
                            </w:r>
                          </w:p>
                          <w:p w14:paraId="0E752EB7" w14:textId="77777777" w:rsidR="003769AD" w:rsidRPr="00790026" w:rsidRDefault="003769AD" w:rsidP="003769AD">
                            <w:pPr>
                              <w:pStyle w:val="NormalWeb"/>
                              <w:spacing w:before="120" w:after="120"/>
                              <w:jc w:val="right"/>
                              <w:rPr>
                                <w:sz w:val="20"/>
                              </w:rPr>
                            </w:pPr>
                            <w:r w:rsidRPr="00790026">
                              <w:rPr>
                                <w:rFonts w:asciiTheme="minorHAnsi" w:hAnsi="Calibri" w:cstheme="minorBidi"/>
                                <w:color w:val="FFFFFF" w:themeColor="background1"/>
                                <w:kern w:val="24"/>
                                <w:sz w:val="28"/>
                                <w:szCs w:val="36"/>
                              </w:rPr>
                              <w:t>Premier Zille, Nov</w:t>
                            </w:r>
                            <w:r>
                              <w:rPr>
                                <w:rFonts w:asciiTheme="minorHAnsi" w:hAnsi="Calibri" w:cstheme="minorBidi"/>
                                <w:color w:val="FFFFFF" w:themeColor="background1"/>
                                <w:kern w:val="24"/>
                                <w:sz w:val="28"/>
                                <w:szCs w:val="36"/>
                              </w:rPr>
                              <w:t xml:space="preserve">ember </w:t>
                            </w:r>
                            <w:r w:rsidRPr="00790026">
                              <w:rPr>
                                <w:rFonts w:asciiTheme="minorHAnsi" w:hAnsi="Calibri" w:cstheme="minorBidi"/>
                                <w:color w:val="FFFFFF" w:themeColor="background1"/>
                                <w:kern w:val="24"/>
                                <w:sz w:val="28"/>
                                <w:szCs w:val="36"/>
                              </w:rPr>
                              <w:t>2014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120AC24" id="_x0000_t202" coordsize="21600,21600" o:spt="202" path="m,l,21600r21600,l21600,xe">
                <v:stroke joinstyle="miter"/>
                <v:path gradientshapeok="t" o:connecttype="rect"/>
              </v:shapetype>
              <v:shape id="TextBox 6" o:spid="_x0000_s1026" type="#_x0000_t202" style="position:absolute;left:0;text-align:left;margin-left:.75pt;margin-top:12.7pt;width:48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" fillcolor="#17365d [2415]" stroked="f">
                <v:textbox>
                  <w:txbxContent>
                    <w:p w14:paraId="37C1520B" w14:textId="77777777" w:rsidR="003769AD" w:rsidRDefault="003769AD" w:rsidP="003769AD">
                      <w:pPr>
                        <w:pStyle w:val="NormalWeb"/>
                        <w:spacing w:before="120" w:after="120"/>
                        <w:rPr>
                          <w:rFonts w:asciiTheme="minorHAnsi" w:hAnsi="Calibri" w:cstheme="minorBidi"/>
                          <w:color w:val="FFFFFF" w:themeColor="background1"/>
                          <w:kern w:val="24"/>
                          <w:sz w:val="28"/>
                          <w:szCs w:val="36"/>
                        </w:rPr>
                      </w:pPr>
                      <w:r w:rsidRPr="00790026">
                        <w:rPr>
                          <w:rFonts w:asciiTheme="minorHAnsi" w:hAnsi="Calibri" w:cstheme="minorBidi"/>
                          <w:i/>
                          <w:iCs/>
                          <w:color w:val="FFFFFF" w:themeColor="background1"/>
                          <w:kern w:val="24"/>
                          <w:sz w:val="28"/>
                          <w:szCs w:val="36"/>
                        </w:rPr>
                        <w:t>It has become increasingly evident that we need a new way of delivery, one that is uncompromisingly results-focused and performance-driven</w:t>
                      </w:r>
                      <w:r w:rsidRPr="00790026">
                        <w:rPr>
                          <w:rFonts w:asciiTheme="minorHAnsi" w:hAnsi="Calibri" w:cstheme="minorBidi"/>
                          <w:color w:val="FFFFFF" w:themeColor="background1"/>
                          <w:kern w:val="24"/>
                          <w:sz w:val="28"/>
                          <w:szCs w:val="36"/>
                        </w:rPr>
                        <w:t xml:space="preserve">. </w:t>
                      </w:r>
                    </w:p>
                    <w:p w14:paraId="0E752EB7" w14:textId="77777777" w:rsidR="003769AD" w:rsidRPr="00790026" w:rsidRDefault="003769AD" w:rsidP="003769AD">
                      <w:pPr>
                        <w:pStyle w:val="NormalWeb"/>
                        <w:spacing w:before="120" w:after="120"/>
                        <w:jc w:val="right"/>
                        <w:rPr>
                          <w:sz w:val="20"/>
                        </w:rPr>
                      </w:pPr>
                      <w:r w:rsidRPr="00790026">
                        <w:rPr>
                          <w:rFonts w:asciiTheme="minorHAnsi" w:hAnsi="Calibri" w:cstheme="minorBidi"/>
                          <w:color w:val="FFFFFF" w:themeColor="background1"/>
                          <w:kern w:val="24"/>
                          <w:sz w:val="28"/>
                          <w:szCs w:val="36"/>
                        </w:rPr>
                        <w:t>Premier Zille, Nov</w:t>
                      </w:r>
                      <w:r>
                        <w:rPr>
                          <w:rFonts w:asciiTheme="minorHAnsi" w:hAnsi="Calibri" w:cstheme="minorBidi"/>
                          <w:color w:val="FFFFFF" w:themeColor="background1"/>
                          <w:kern w:val="24"/>
                          <w:sz w:val="28"/>
                          <w:szCs w:val="36"/>
                        </w:rPr>
                        <w:t xml:space="preserve">ember </w:t>
                      </w:r>
                      <w:r w:rsidRPr="00790026">
                        <w:rPr>
                          <w:rFonts w:asciiTheme="minorHAnsi" w:hAnsi="Calibri" w:cstheme="minorBidi"/>
                          <w:color w:val="FFFFFF" w:themeColor="background1"/>
                          <w:kern w:val="24"/>
                          <w:sz w:val="28"/>
                          <w:szCs w:val="36"/>
                        </w:rPr>
                        <w:t>2014</w:t>
                      </w:r>
                    </w:p>
                  </w:txbxContent>
                </v:textbox>
              </v:shape>
            </w:pict>
          </mc:Fallback>
        </mc:AlternateContent>
      </w:r>
    </w:p>
    <w:p w14:paraId="35C94083" w14:textId="77777777" w:rsidR="003769AD" w:rsidRPr="00170E64" w:rsidRDefault="003769AD" w:rsidP="003769AD">
      <w:pPr>
        <w:jc w:val="both"/>
        <w:rPr>
          <w:rFonts w:ascii="Century Gothic" w:hAnsi="Century Gothic"/>
          <w:color w:val="000000" w:themeColor="text1"/>
        </w:rPr>
      </w:pPr>
    </w:p>
    <w:p w14:paraId="04BCC28D" w14:textId="77777777" w:rsidR="003769AD" w:rsidRPr="00170E64" w:rsidRDefault="003769AD" w:rsidP="003769AD">
      <w:pPr>
        <w:jc w:val="both"/>
        <w:rPr>
          <w:rFonts w:ascii="Century Gothic" w:hAnsi="Century Gothic"/>
          <w:color w:val="000000" w:themeColor="text1"/>
        </w:rPr>
      </w:pPr>
    </w:p>
    <w:p w14:paraId="58805058" w14:textId="77777777" w:rsidR="003769AD" w:rsidRPr="00170E64" w:rsidRDefault="003769AD" w:rsidP="003769AD">
      <w:pPr>
        <w:jc w:val="both"/>
        <w:rPr>
          <w:rFonts w:ascii="Century Gothic" w:hAnsi="Century Gothic"/>
          <w:color w:val="000000" w:themeColor="text1"/>
        </w:rPr>
      </w:pPr>
    </w:p>
    <w:p w14:paraId="4D9737DA" w14:textId="77777777" w:rsidR="003769AD" w:rsidRPr="00170E64" w:rsidRDefault="003769AD" w:rsidP="003769AD">
      <w:pPr>
        <w:jc w:val="both"/>
        <w:rPr>
          <w:rFonts w:ascii="Century Gothic" w:hAnsi="Century Gothic"/>
          <w:b/>
          <w:color w:val="000000" w:themeColor="text1"/>
        </w:rPr>
      </w:pPr>
      <w:r w:rsidRPr="00170E64">
        <w:rPr>
          <w:rFonts w:ascii="Century Gothic" w:hAnsi="Century Gothic"/>
          <w:color w:val="000000" w:themeColor="text1"/>
        </w:rPr>
        <w:t xml:space="preserve">The Western Cape Provincial Cabinet entered its second term of office (2014-19) with a commitment to deliver faster results and increased citizen satisfaction with government services. To achieve this, it selected a few key strategic priorities that would be subjected to a new delivery approach. These priorities, or Game Changers as they are commonly referred to, needed to set a high benchmark of impact and delivery. To achieve this, an extensive design process brought together government officials, civil society, private sector and experts, out of which emerged seven Game Changers, one of which is the </w:t>
      </w:r>
      <w:r w:rsidRPr="00170E64">
        <w:rPr>
          <w:rFonts w:ascii="Century Gothic" w:hAnsi="Century Gothic"/>
          <w:b/>
          <w:color w:val="000000" w:themeColor="text1"/>
        </w:rPr>
        <w:t>Apprenticeship Game Changer.</w:t>
      </w:r>
    </w:p>
    <w:p w14:paraId="3D469803" w14:textId="77777777" w:rsidR="003769AD" w:rsidRPr="00170E64" w:rsidRDefault="003769AD" w:rsidP="003769AD">
      <w:pPr>
        <w:jc w:val="both"/>
        <w:rPr>
          <w:rFonts w:ascii="Century Gothic" w:hAnsi="Century Gothic"/>
          <w:color w:val="000000" w:themeColor="text1"/>
        </w:rPr>
      </w:pPr>
      <w:r w:rsidRPr="00170E64">
        <w:rPr>
          <w:rFonts w:ascii="Century Gothic" w:hAnsi="Century Gothic"/>
          <w:color w:val="000000" w:themeColor="text1"/>
        </w:rPr>
        <w:t xml:space="preserve">Too many young people walk the streets, armed with a matric certificate or a college qualification, unable to get work. Too many businesses complain that they cannot get the requisite skilled </w:t>
      </w:r>
      <w:r w:rsidR="000D1539">
        <w:rPr>
          <w:rFonts w:ascii="Century Gothic" w:hAnsi="Century Gothic"/>
          <w:color w:val="000000" w:themeColor="text1"/>
        </w:rPr>
        <w:t xml:space="preserve">work ready </w:t>
      </w:r>
      <w:r w:rsidRPr="00170E64">
        <w:rPr>
          <w:rFonts w:ascii="Century Gothic" w:hAnsi="Century Gothic"/>
          <w:color w:val="000000" w:themeColor="text1"/>
        </w:rPr>
        <w:t>labour to support expansion and new investment. And, too long we have been caught in this quagmire. The Apprenticeship Game Changer is focused on getting us out of it.  To do so, this game changer is focused on aligning supply where the demand is greatest</w:t>
      </w:r>
      <w:r w:rsidR="000D1539">
        <w:rPr>
          <w:rFonts w:ascii="Century Gothic" w:hAnsi="Century Gothic"/>
          <w:color w:val="000000" w:themeColor="text1"/>
        </w:rPr>
        <w:t xml:space="preserve"> and improving the work readiness of learners</w:t>
      </w:r>
      <w:r w:rsidRPr="00170E64">
        <w:rPr>
          <w:rFonts w:ascii="Century Gothic" w:hAnsi="Century Gothic"/>
          <w:color w:val="000000" w:themeColor="text1"/>
        </w:rPr>
        <w:t xml:space="preserve">, notably in those sectors that are of strategic significance in the Western Cape. The growth sectors as identified through Project </w:t>
      </w:r>
      <w:proofErr w:type="spellStart"/>
      <w:r w:rsidRPr="00170E64">
        <w:rPr>
          <w:rFonts w:ascii="Century Gothic" w:hAnsi="Century Gothic"/>
          <w:color w:val="000000" w:themeColor="text1"/>
        </w:rPr>
        <w:t>Khulisa</w:t>
      </w:r>
      <w:proofErr w:type="spellEnd"/>
      <w:r w:rsidRPr="00170E64">
        <w:rPr>
          <w:rFonts w:ascii="Century Gothic" w:hAnsi="Century Gothic"/>
          <w:color w:val="000000" w:themeColor="text1"/>
        </w:rPr>
        <w:t xml:space="preserve"> during 2015 are for the immediate future are: </w:t>
      </w:r>
    </w:p>
    <w:p w14:paraId="5842818E" w14:textId="77777777" w:rsidR="003769AD" w:rsidRPr="00170E64" w:rsidRDefault="003769AD" w:rsidP="003769AD">
      <w:pPr>
        <w:pStyle w:val="ListParagraph"/>
        <w:numPr>
          <w:ilvl w:val="0"/>
          <w:numId w:val="6"/>
        </w:numPr>
        <w:spacing w:after="0"/>
        <w:jc w:val="both"/>
        <w:rPr>
          <w:rFonts w:ascii="Century Gothic" w:hAnsi="Century Gothic"/>
          <w:color w:val="000000" w:themeColor="text1"/>
        </w:rPr>
      </w:pPr>
      <w:r w:rsidRPr="00170E64">
        <w:rPr>
          <w:rFonts w:ascii="Century Gothic" w:hAnsi="Century Gothic"/>
          <w:color w:val="000000" w:themeColor="text1"/>
        </w:rPr>
        <w:t>Oil and Gas (including Rig Repair)</w:t>
      </w:r>
    </w:p>
    <w:p w14:paraId="0A7115F5" w14:textId="77777777" w:rsidR="003769AD" w:rsidRPr="00170E64" w:rsidRDefault="003769AD" w:rsidP="003769AD">
      <w:pPr>
        <w:pStyle w:val="ListParagraph"/>
        <w:numPr>
          <w:ilvl w:val="0"/>
          <w:numId w:val="6"/>
        </w:numPr>
        <w:spacing w:after="0"/>
        <w:jc w:val="both"/>
        <w:rPr>
          <w:rFonts w:ascii="Century Gothic" w:hAnsi="Century Gothic"/>
          <w:color w:val="000000" w:themeColor="text1"/>
        </w:rPr>
      </w:pPr>
      <w:proofErr w:type="spellStart"/>
      <w:r w:rsidRPr="00170E64">
        <w:rPr>
          <w:rFonts w:ascii="Century Gothic" w:hAnsi="Century Gothic"/>
          <w:color w:val="000000" w:themeColor="text1"/>
        </w:rPr>
        <w:t>Agri</w:t>
      </w:r>
      <w:proofErr w:type="spellEnd"/>
      <w:r w:rsidRPr="00170E64">
        <w:rPr>
          <w:rFonts w:ascii="Century Gothic" w:hAnsi="Century Gothic"/>
          <w:color w:val="000000" w:themeColor="text1"/>
        </w:rPr>
        <w:t>-processing; and</w:t>
      </w:r>
    </w:p>
    <w:p w14:paraId="2F6404AA" w14:textId="77777777" w:rsidR="003769AD" w:rsidRPr="00170E64" w:rsidRDefault="003769AD" w:rsidP="003769AD">
      <w:pPr>
        <w:pStyle w:val="ListParagraph"/>
        <w:numPr>
          <w:ilvl w:val="0"/>
          <w:numId w:val="6"/>
        </w:numPr>
        <w:spacing w:after="0"/>
        <w:jc w:val="both"/>
        <w:rPr>
          <w:rFonts w:ascii="Century Gothic" w:hAnsi="Century Gothic"/>
          <w:color w:val="000000" w:themeColor="text1"/>
        </w:rPr>
      </w:pPr>
      <w:r w:rsidRPr="00170E64">
        <w:rPr>
          <w:rFonts w:ascii="Century Gothic" w:hAnsi="Century Gothic"/>
          <w:color w:val="000000" w:themeColor="text1"/>
        </w:rPr>
        <w:t xml:space="preserve">Tourism. </w:t>
      </w:r>
    </w:p>
    <w:p w14:paraId="2B13AB20" w14:textId="77777777" w:rsidR="00293021" w:rsidRPr="00170E64" w:rsidRDefault="00293021" w:rsidP="003769AD">
      <w:pPr>
        <w:jc w:val="both"/>
        <w:rPr>
          <w:rFonts w:ascii="Century Gothic" w:hAnsi="Century Gothic"/>
          <w:color w:val="000000" w:themeColor="text1"/>
        </w:rPr>
      </w:pPr>
    </w:p>
    <w:p w14:paraId="2C98BB66" w14:textId="77777777" w:rsidR="003769AD" w:rsidRPr="00170E64" w:rsidRDefault="003769AD" w:rsidP="003769AD">
      <w:pPr>
        <w:jc w:val="both"/>
        <w:rPr>
          <w:rFonts w:ascii="Century Gothic" w:hAnsi="Century Gothic"/>
          <w:color w:val="000000" w:themeColor="text1"/>
        </w:rPr>
      </w:pPr>
      <w:r w:rsidRPr="00170E64">
        <w:rPr>
          <w:rFonts w:ascii="Century Gothic" w:hAnsi="Century Gothic"/>
          <w:color w:val="000000" w:themeColor="text1"/>
        </w:rPr>
        <w:t xml:space="preserve">In addition, there are two critical enabling sectors that need attention to allow for the growth of the Project </w:t>
      </w:r>
      <w:proofErr w:type="spellStart"/>
      <w:r w:rsidRPr="00170E64">
        <w:rPr>
          <w:rFonts w:ascii="Century Gothic" w:hAnsi="Century Gothic"/>
          <w:color w:val="000000" w:themeColor="text1"/>
        </w:rPr>
        <w:t>Khulisa</w:t>
      </w:r>
      <w:proofErr w:type="spellEnd"/>
      <w:r w:rsidRPr="00170E64">
        <w:rPr>
          <w:rFonts w:ascii="Century Gothic" w:hAnsi="Century Gothic"/>
          <w:color w:val="000000" w:themeColor="text1"/>
        </w:rPr>
        <w:t xml:space="preserve"> sectors, being:</w:t>
      </w:r>
    </w:p>
    <w:p w14:paraId="7A5A0A8C" w14:textId="77777777" w:rsidR="003769AD" w:rsidRPr="00170E64" w:rsidRDefault="003769AD" w:rsidP="003769AD">
      <w:pPr>
        <w:pStyle w:val="ListParagraph"/>
        <w:numPr>
          <w:ilvl w:val="0"/>
          <w:numId w:val="7"/>
        </w:numPr>
        <w:spacing w:after="0"/>
        <w:jc w:val="both"/>
        <w:rPr>
          <w:rFonts w:ascii="Century Gothic" w:hAnsi="Century Gothic"/>
          <w:color w:val="000000" w:themeColor="text1"/>
        </w:rPr>
      </w:pPr>
      <w:r w:rsidRPr="00170E64">
        <w:rPr>
          <w:rFonts w:ascii="Century Gothic" w:hAnsi="Century Gothic"/>
          <w:color w:val="000000" w:themeColor="text1"/>
        </w:rPr>
        <w:t>Energy</w:t>
      </w:r>
      <w:r w:rsidR="000C5C25">
        <w:rPr>
          <w:rFonts w:ascii="Century Gothic" w:hAnsi="Century Gothic"/>
          <w:color w:val="000000" w:themeColor="text1"/>
        </w:rPr>
        <w:t xml:space="preserve"> and Water</w:t>
      </w:r>
    </w:p>
    <w:p w14:paraId="6B539C89" w14:textId="77777777" w:rsidR="003769AD" w:rsidRPr="00170E64" w:rsidRDefault="003769AD" w:rsidP="003769AD">
      <w:pPr>
        <w:pStyle w:val="ListParagraph"/>
        <w:numPr>
          <w:ilvl w:val="0"/>
          <w:numId w:val="7"/>
        </w:numPr>
        <w:spacing w:after="0"/>
        <w:jc w:val="both"/>
        <w:rPr>
          <w:rFonts w:ascii="Century Gothic" w:hAnsi="Century Gothic"/>
          <w:color w:val="000000" w:themeColor="text1"/>
        </w:rPr>
      </w:pPr>
      <w:r w:rsidRPr="00170E64">
        <w:rPr>
          <w:rFonts w:ascii="Century Gothic" w:hAnsi="Century Gothic"/>
          <w:color w:val="000000" w:themeColor="text1"/>
        </w:rPr>
        <w:t xml:space="preserve">Information Communication Technology (including Broadband). </w:t>
      </w:r>
    </w:p>
    <w:p w14:paraId="01A92165" w14:textId="581206DA" w:rsidR="003769AD" w:rsidRPr="00170E64" w:rsidRDefault="00474034" w:rsidP="00474034">
      <w:pPr>
        <w:tabs>
          <w:tab w:val="left" w:pos="1635"/>
        </w:tabs>
        <w:jc w:val="both"/>
        <w:rPr>
          <w:rFonts w:ascii="Century Gothic" w:hAnsi="Century Gothic"/>
          <w:color w:val="000000" w:themeColor="text1"/>
        </w:rPr>
      </w:pPr>
      <w:r>
        <w:rPr>
          <w:rFonts w:ascii="Century Gothic" w:hAnsi="Century Gothic"/>
          <w:color w:val="000000" w:themeColor="text1"/>
        </w:rPr>
        <w:tab/>
      </w:r>
    </w:p>
    <w:p w14:paraId="5072C947" w14:textId="392AB978" w:rsidR="003769AD" w:rsidRPr="00170E64" w:rsidRDefault="003769AD" w:rsidP="003769AD">
      <w:pPr>
        <w:jc w:val="both"/>
        <w:rPr>
          <w:rFonts w:ascii="Century Gothic" w:hAnsi="Century Gothic"/>
          <w:color w:val="000000" w:themeColor="text1"/>
        </w:rPr>
      </w:pPr>
      <w:r w:rsidRPr="00170E64">
        <w:rPr>
          <w:rFonts w:ascii="Century Gothic" w:hAnsi="Century Gothic"/>
          <w:color w:val="000000" w:themeColor="text1"/>
        </w:rPr>
        <w:t xml:space="preserve">Key to this highly focused </w:t>
      </w:r>
      <w:r w:rsidRPr="00170E64">
        <w:rPr>
          <w:rFonts w:ascii="Century Gothic" w:hAnsi="Century Gothic"/>
          <w:b/>
          <w:color w:val="000000" w:themeColor="text1"/>
          <w:u w:val="single"/>
        </w:rPr>
        <w:t>occupation per sector</w:t>
      </w:r>
      <w:r w:rsidRPr="00170E64">
        <w:rPr>
          <w:rFonts w:ascii="Century Gothic" w:hAnsi="Century Gothic"/>
          <w:color w:val="000000" w:themeColor="text1"/>
        </w:rPr>
        <w:t xml:space="preserve"> approach is “data”. There is </w:t>
      </w:r>
      <w:r w:rsidR="000C5C25">
        <w:rPr>
          <w:rFonts w:ascii="Century Gothic" w:hAnsi="Century Gothic"/>
          <w:color w:val="000000" w:themeColor="text1"/>
        </w:rPr>
        <w:t xml:space="preserve">a </w:t>
      </w:r>
      <w:r w:rsidRPr="00170E64">
        <w:rPr>
          <w:rFonts w:ascii="Century Gothic" w:hAnsi="Century Gothic"/>
          <w:color w:val="000000" w:themeColor="text1"/>
        </w:rPr>
        <w:t xml:space="preserve">need to know which occupations are required within each priority growth sector? How many of each occupation? How many skilled people are available for each occupation? How many do we need to train? How many people are in training already for these occupations? These questions and others that may arise, allow for a scientific decision making process to occur, which is highly dependent on accurate, live, disaggregated real time data based on the needs of employers in all the above sectors. However, employers need to be fully integrated into this process or the </w:t>
      </w:r>
      <w:r w:rsidR="000D1539">
        <w:rPr>
          <w:rFonts w:ascii="Century Gothic" w:hAnsi="Century Gothic"/>
          <w:color w:val="000000" w:themeColor="text1"/>
        </w:rPr>
        <w:t xml:space="preserve">Apprenticeship </w:t>
      </w:r>
      <w:r w:rsidRPr="00170E64">
        <w:rPr>
          <w:rFonts w:ascii="Century Gothic" w:hAnsi="Century Gothic"/>
          <w:color w:val="000000" w:themeColor="text1"/>
        </w:rPr>
        <w:t xml:space="preserve">Game Changer will not succeed. This guideline explains the process that will be implemented to bring employers </w:t>
      </w:r>
      <w:r w:rsidRPr="00170E64">
        <w:rPr>
          <w:rFonts w:ascii="Century Gothic" w:hAnsi="Century Gothic"/>
          <w:color w:val="000000" w:themeColor="text1"/>
        </w:rPr>
        <w:lastRenderedPageBreak/>
        <w:t xml:space="preserve">on board to become the drivers for the </w:t>
      </w:r>
      <w:r w:rsidR="000D1539">
        <w:rPr>
          <w:rFonts w:ascii="Century Gothic" w:hAnsi="Century Gothic"/>
          <w:color w:val="000000" w:themeColor="text1"/>
        </w:rPr>
        <w:t xml:space="preserve">Apprenticeship </w:t>
      </w:r>
      <w:r w:rsidRPr="00170E64">
        <w:rPr>
          <w:rFonts w:ascii="Century Gothic" w:hAnsi="Century Gothic"/>
          <w:color w:val="000000" w:themeColor="text1"/>
        </w:rPr>
        <w:t>Game Changer through Technical Advisory Forums (TAFs</w:t>
      </w:r>
      <w:r w:rsidR="006A45B8">
        <w:rPr>
          <w:rFonts w:ascii="Century Gothic" w:hAnsi="Century Gothic"/>
          <w:color w:val="000000" w:themeColor="text1"/>
        </w:rPr>
        <w:t>).</w:t>
      </w:r>
      <w:r w:rsidRPr="00170E64">
        <w:rPr>
          <w:rFonts w:ascii="Century Gothic" w:hAnsi="Century Gothic"/>
          <w:color w:val="000000" w:themeColor="text1"/>
        </w:rPr>
        <w:t xml:space="preserve">  </w:t>
      </w:r>
    </w:p>
    <w:p w14:paraId="5EA07B5D" w14:textId="77777777" w:rsidR="00293021" w:rsidRPr="00170E64" w:rsidRDefault="00293021" w:rsidP="003769AD">
      <w:pPr>
        <w:jc w:val="both"/>
        <w:rPr>
          <w:rFonts w:ascii="Century Gothic" w:hAnsi="Century Gothic"/>
          <w:color w:val="000000" w:themeColor="text1"/>
        </w:rPr>
      </w:pPr>
    </w:p>
    <w:p w14:paraId="4DA98A88" w14:textId="77777777" w:rsidR="003769AD" w:rsidRPr="00170E64" w:rsidRDefault="003769AD" w:rsidP="003769AD">
      <w:pPr>
        <w:pStyle w:val="ListParagraph"/>
        <w:numPr>
          <w:ilvl w:val="0"/>
          <w:numId w:val="9"/>
        </w:numPr>
        <w:spacing w:after="0"/>
        <w:jc w:val="both"/>
        <w:rPr>
          <w:rFonts w:ascii="Century Gothic" w:hAnsi="Century Gothic"/>
          <w:b/>
          <w:color w:val="000000" w:themeColor="text1"/>
        </w:rPr>
      </w:pPr>
      <w:r w:rsidRPr="00170E64">
        <w:rPr>
          <w:rFonts w:ascii="Century Gothic" w:hAnsi="Century Gothic"/>
          <w:b/>
          <w:color w:val="000000" w:themeColor="text1"/>
        </w:rPr>
        <w:t>Role of the Employer within the Skills Game Changer.</w:t>
      </w:r>
    </w:p>
    <w:p w14:paraId="7C3464E2" w14:textId="77777777" w:rsidR="00293021" w:rsidRPr="00170E64" w:rsidRDefault="00293021" w:rsidP="003769AD">
      <w:pPr>
        <w:jc w:val="both"/>
        <w:rPr>
          <w:rFonts w:ascii="Century Gothic" w:hAnsi="Century Gothic"/>
          <w:bCs/>
          <w:color w:val="000000" w:themeColor="text1"/>
        </w:rPr>
      </w:pPr>
    </w:p>
    <w:p w14:paraId="010F3E5F" w14:textId="0EB5BD7A" w:rsidR="003769AD" w:rsidRPr="00170E64" w:rsidRDefault="003769AD" w:rsidP="003769AD">
      <w:pPr>
        <w:jc w:val="both"/>
        <w:rPr>
          <w:rFonts w:ascii="Century Gothic" w:hAnsi="Century Gothic"/>
          <w:color w:val="000000" w:themeColor="text1"/>
        </w:rPr>
      </w:pPr>
      <w:r w:rsidRPr="00170E64">
        <w:rPr>
          <w:rFonts w:ascii="Century Gothic" w:hAnsi="Century Gothic"/>
          <w:bCs/>
          <w:color w:val="000000" w:themeColor="text1"/>
        </w:rPr>
        <w:t>There are three distinct but related “pools” of persons that make up the Apprenticeship Game Changer</w:t>
      </w:r>
      <w:r w:rsidR="00293021" w:rsidRPr="00170E64">
        <w:rPr>
          <w:rFonts w:ascii="Century Gothic" w:hAnsi="Century Gothic"/>
          <w:bCs/>
          <w:color w:val="000000" w:themeColor="text1"/>
        </w:rPr>
        <w:t xml:space="preserve">. </w:t>
      </w:r>
      <w:r w:rsidRPr="00170E64">
        <w:rPr>
          <w:rFonts w:ascii="Century Gothic" w:hAnsi="Century Gothic"/>
          <w:bCs/>
          <w:color w:val="000000" w:themeColor="text1"/>
        </w:rPr>
        <w:t>A linear relationship allows the progressive movement of persons from academic supply (e.g</w:t>
      </w:r>
      <w:r w:rsidR="004C72E9">
        <w:rPr>
          <w:rFonts w:ascii="Century Gothic" w:hAnsi="Century Gothic"/>
          <w:bCs/>
          <w:color w:val="000000" w:themeColor="text1"/>
        </w:rPr>
        <w:t>.</w:t>
      </w:r>
      <w:r w:rsidRPr="00170E64">
        <w:rPr>
          <w:rFonts w:ascii="Century Gothic" w:hAnsi="Century Gothic"/>
          <w:bCs/>
          <w:color w:val="000000" w:themeColor="text1"/>
        </w:rPr>
        <w:t xml:space="preserve"> School or College) to workplace supply (e.g</w:t>
      </w:r>
      <w:r w:rsidR="004C72E9">
        <w:rPr>
          <w:rFonts w:ascii="Century Gothic" w:hAnsi="Century Gothic"/>
          <w:bCs/>
          <w:color w:val="000000" w:themeColor="text1"/>
        </w:rPr>
        <w:t>.</w:t>
      </w:r>
      <w:r w:rsidRPr="00170E64">
        <w:rPr>
          <w:rFonts w:ascii="Century Gothic" w:hAnsi="Century Gothic"/>
          <w:bCs/>
          <w:color w:val="000000" w:themeColor="text1"/>
        </w:rPr>
        <w:t xml:space="preserve"> Apprenticeship) to actual employment in the priority economic sectors. However, the linear movement is not a programmed process – i.e. a specific person is NOT targeted all the way through the system.  Each “pool” is grown by Stakeholders for different reasons</w:t>
      </w:r>
      <w:r w:rsidR="00CB62C5">
        <w:rPr>
          <w:rFonts w:ascii="Century Gothic" w:hAnsi="Century Gothic"/>
          <w:bCs/>
          <w:color w:val="000000" w:themeColor="text1"/>
        </w:rPr>
        <w:t>.</w:t>
      </w:r>
      <w:r w:rsidRPr="00170E64">
        <w:rPr>
          <w:rFonts w:ascii="Century Gothic" w:hAnsi="Century Gothic"/>
          <w:bCs/>
          <w:color w:val="000000" w:themeColor="text1"/>
        </w:rPr>
        <w:t xml:space="preserve">   </w:t>
      </w:r>
    </w:p>
    <w:p w14:paraId="40D87730" w14:textId="77777777" w:rsidR="00E57662" w:rsidRDefault="003769AD" w:rsidP="003769AD">
      <w:pPr>
        <w:jc w:val="both"/>
        <w:rPr>
          <w:rFonts w:ascii="Century Gothic" w:hAnsi="Century Gothic"/>
          <w:bCs/>
          <w:color w:val="000000" w:themeColor="text1"/>
        </w:rPr>
      </w:pPr>
      <w:r w:rsidRPr="00170E64">
        <w:rPr>
          <w:rFonts w:ascii="Century Gothic" w:hAnsi="Century Gothic"/>
          <w:color w:val="000000" w:themeColor="text1"/>
        </w:rPr>
        <w:t xml:space="preserve">These </w:t>
      </w:r>
      <w:r w:rsidRPr="00170E64">
        <w:rPr>
          <w:rFonts w:ascii="Century Gothic" w:hAnsi="Century Gothic"/>
          <w:bCs/>
          <w:color w:val="000000" w:themeColor="text1"/>
        </w:rPr>
        <w:t xml:space="preserve">three distinct but interrelated pools of Stakeholders enable a “push strategy” for learning institutions to supply learners with appropriate skills and competencies to the priority economic growth sectors as well as a “pull strategy” to ensure that the priority economic growth sectors clearly signal their specific human resources needs in terms of appropriate skills and competencies. </w:t>
      </w:r>
      <w:r w:rsidR="00E57662">
        <w:rPr>
          <w:rFonts w:ascii="Century Gothic" w:hAnsi="Century Gothic"/>
          <w:bCs/>
          <w:color w:val="000000" w:themeColor="text1"/>
        </w:rPr>
        <w:t xml:space="preserve">Globally it is evident that the more employers participate and are involved in three stakeholder pools of the push – pull strategy, the better the skills system in a country. </w:t>
      </w:r>
    </w:p>
    <w:p w14:paraId="4B613A83" w14:textId="77777777" w:rsidR="003769AD" w:rsidRPr="00170E64" w:rsidRDefault="003769AD" w:rsidP="003769AD">
      <w:pPr>
        <w:jc w:val="both"/>
        <w:rPr>
          <w:rFonts w:ascii="Century Gothic" w:hAnsi="Century Gothic"/>
          <w:bCs/>
          <w:color w:val="000000" w:themeColor="text1"/>
        </w:rPr>
      </w:pPr>
      <w:r w:rsidRPr="00170E64">
        <w:rPr>
          <w:rFonts w:ascii="Century Gothic" w:hAnsi="Century Gothic"/>
          <w:bCs/>
          <w:color w:val="000000" w:themeColor="text1"/>
        </w:rPr>
        <w:t>This push / pull approach is illustrated in the infographic below.</w:t>
      </w:r>
    </w:p>
    <w:p w14:paraId="6C0EA33B" w14:textId="77777777" w:rsidR="003769AD" w:rsidRPr="00170E64" w:rsidRDefault="003769AD" w:rsidP="003769AD">
      <w:pPr>
        <w:jc w:val="both"/>
        <w:rPr>
          <w:rFonts w:ascii="Century Gothic" w:hAnsi="Century Gothic"/>
          <w:bCs/>
          <w:color w:val="000000" w:themeColor="text1"/>
        </w:rPr>
      </w:pPr>
    </w:p>
    <w:p w14:paraId="08990101" w14:textId="77777777" w:rsidR="003769AD" w:rsidRPr="00170E64" w:rsidRDefault="00B769B9" w:rsidP="003769AD">
      <w:pPr>
        <w:jc w:val="center"/>
        <w:rPr>
          <w:rFonts w:ascii="Century Gothic" w:hAnsi="Century Gothic"/>
          <w:bCs/>
          <w:color w:val="000000" w:themeColor="text1"/>
        </w:rPr>
      </w:pPr>
      <w:r>
        <w:rPr>
          <w:rFonts w:ascii="Century Gothic" w:hAnsi="Century Gothic"/>
          <w:bCs/>
          <w:noProof/>
          <w:color w:val="000000" w:themeColor="text1"/>
          <w:lang w:eastAsia="en-ZA"/>
        </w:rPr>
        <w:drawing>
          <wp:inline distT="0" distB="0" distL="0" distR="0" wp14:anchorId="27E1C680" wp14:editId="1B88D320">
            <wp:extent cx="6024379" cy="2828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4814" cy="2833450"/>
                    </a:xfrm>
                    <a:prstGeom prst="rect">
                      <a:avLst/>
                    </a:prstGeom>
                    <a:noFill/>
                  </pic:spPr>
                </pic:pic>
              </a:graphicData>
            </a:graphic>
          </wp:inline>
        </w:drawing>
      </w:r>
    </w:p>
    <w:p w14:paraId="70C82C7F" w14:textId="77777777" w:rsidR="003769AD" w:rsidRPr="00170E64" w:rsidRDefault="003769AD" w:rsidP="003769AD">
      <w:pPr>
        <w:rPr>
          <w:rFonts w:ascii="Century Gothic" w:hAnsi="Century Gothic"/>
          <w:bCs/>
          <w:color w:val="000000" w:themeColor="text1"/>
        </w:rPr>
      </w:pPr>
    </w:p>
    <w:p w14:paraId="4A5FF9A0" w14:textId="77777777" w:rsidR="003769AD" w:rsidRPr="00170E64" w:rsidRDefault="003769AD" w:rsidP="003769AD">
      <w:pPr>
        <w:pStyle w:val="Caption"/>
        <w:jc w:val="center"/>
        <w:rPr>
          <w:rFonts w:ascii="Century Gothic" w:hAnsi="Century Gothic"/>
          <w:color w:val="000000" w:themeColor="text1"/>
          <w:sz w:val="22"/>
          <w:szCs w:val="22"/>
        </w:rPr>
      </w:pPr>
      <w:r w:rsidRPr="00170E64">
        <w:rPr>
          <w:rFonts w:ascii="Century Gothic" w:hAnsi="Century Gothic"/>
          <w:color w:val="000000" w:themeColor="text1"/>
          <w:sz w:val="22"/>
          <w:szCs w:val="22"/>
        </w:rPr>
        <w:t xml:space="preserve">Figure </w:t>
      </w:r>
      <w:r w:rsidRPr="00170E64">
        <w:rPr>
          <w:rFonts w:ascii="Century Gothic" w:hAnsi="Century Gothic"/>
          <w:color w:val="000000" w:themeColor="text1"/>
          <w:sz w:val="22"/>
          <w:szCs w:val="22"/>
        </w:rPr>
        <w:fldChar w:fldCharType="begin"/>
      </w:r>
      <w:r w:rsidRPr="00170E64">
        <w:rPr>
          <w:rFonts w:ascii="Century Gothic" w:hAnsi="Century Gothic"/>
          <w:color w:val="000000" w:themeColor="text1"/>
          <w:sz w:val="22"/>
          <w:szCs w:val="22"/>
        </w:rPr>
        <w:instrText xml:space="preserve"> SEQ Figure \* ARABIC </w:instrText>
      </w:r>
      <w:r w:rsidRPr="00170E64">
        <w:rPr>
          <w:rFonts w:ascii="Century Gothic" w:hAnsi="Century Gothic"/>
          <w:color w:val="000000" w:themeColor="text1"/>
          <w:sz w:val="22"/>
          <w:szCs w:val="22"/>
        </w:rPr>
        <w:fldChar w:fldCharType="separate"/>
      </w:r>
      <w:r w:rsidR="008C0BFB">
        <w:rPr>
          <w:rFonts w:ascii="Century Gothic" w:hAnsi="Century Gothic"/>
          <w:noProof/>
          <w:color w:val="000000" w:themeColor="text1"/>
          <w:sz w:val="22"/>
          <w:szCs w:val="22"/>
        </w:rPr>
        <w:t>1</w:t>
      </w:r>
      <w:r w:rsidRPr="00170E64">
        <w:rPr>
          <w:rFonts w:ascii="Century Gothic" w:hAnsi="Century Gothic"/>
          <w:color w:val="000000" w:themeColor="text1"/>
          <w:sz w:val="22"/>
          <w:szCs w:val="22"/>
        </w:rPr>
        <w:fldChar w:fldCharType="end"/>
      </w:r>
      <w:r w:rsidRPr="00170E64">
        <w:rPr>
          <w:rFonts w:ascii="Century Gothic" w:hAnsi="Century Gothic"/>
          <w:color w:val="000000" w:themeColor="text1"/>
          <w:sz w:val="22"/>
          <w:szCs w:val="22"/>
        </w:rPr>
        <w:t xml:space="preserve">: "Push and Pull" </w:t>
      </w:r>
      <w:r w:rsidR="00293021" w:rsidRPr="00170E64">
        <w:rPr>
          <w:rFonts w:ascii="Century Gothic" w:hAnsi="Century Gothic"/>
          <w:color w:val="000000" w:themeColor="text1"/>
          <w:sz w:val="22"/>
          <w:szCs w:val="22"/>
        </w:rPr>
        <w:t xml:space="preserve">Apprenticeship </w:t>
      </w:r>
      <w:r w:rsidRPr="00170E64">
        <w:rPr>
          <w:rFonts w:ascii="Century Gothic" w:hAnsi="Century Gothic"/>
          <w:color w:val="000000" w:themeColor="text1"/>
          <w:sz w:val="22"/>
          <w:szCs w:val="22"/>
        </w:rPr>
        <w:t>Game Changer Strategy</w:t>
      </w:r>
    </w:p>
    <w:p w14:paraId="5EF841C5" w14:textId="77777777" w:rsidR="003769AD" w:rsidRPr="00170E64" w:rsidRDefault="003769AD" w:rsidP="003769AD">
      <w:pPr>
        <w:jc w:val="both"/>
        <w:rPr>
          <w:rFonts w:ascii="Century Gothic" w:hAnsi="Century Gothic"/>
          <w:bCs/>
          <w:color w:val="000000" w:themeColor="text1"/>
        </w:rPr>
      </w:pPr>
      <w:r w:rsidRPr="00170E64">
        <w:rPr>
          <w:rFonts w:ascii="Century Gothic" w:hAnsi="Century Gothic"/>
          <w:bCs/>
          <w:color w:val="000000" w:themeColor="text1"/>
        </w:rPr>
        <w:t xml:space="preserve">Although all three pools of stakeholders are required for the successful implementation of the Apprenticeship Game Changer, the most critical common denominator that acts as a </w:t>
      </w:r>
      <w:r w:rsidRPr="00170E64">
        <w:rPr>
          <w:rFonts w:ascii="Century Gothic" w:hAnsi="Century Gothic"/>
          <w:bCs/>
          <w:color w:val="000000" w:themeColor="text1"/>
        </w:rPr>
        <w:lastRenderedPageBreak/>
        <w:t xml:space="preserve">bridge between the world of learning (academic supply) at an institution and the world of learning at work (workplace supply) is the employer. The employer creates the environment wherein learners can practice their skills that eventually lead them to become competent workers in their chosen occupational fields.  </w:t>
      </w:r>
    </w:p>
    <w:p w14:paraId="750009D1" w14:textId="093485ED" w:rsidR="003769AD" w:rsidRPr="00170E64" w:rsidRDefault="003769AD" w:rsidP="003769AD">
      <w:pPr>
        <w:jc w:val="both"/>
        <w:rPr>
          <w:rFonts w:ascii="Century Gothic" w:hAnsi="Century Gothic"/>
          <w:bCs/>
          <w:color w:val="000000" w:themeColor="text1"/>
        </w:rPr>
      </w:pPr>
      <w:r w:rsidRPr="00170E64">
        <w:rPr>
          <w:rFonts w:ascii="Century Gothic" w:hAnsi="Century Gothic"/>
          <w:bCs/>
          <w:color w:val="000000" w:themeColor="text1"/>
        </w:rPr>
        <w:t xml:space="preserve">However, the employer bridge is a not a naturally occurring phenomenon but is </w:t>
      </w:r>
      <w:r w:rsidR="00CB62C5">
        <w:rPr>
          <w:rFonts w:ascii="Century Gothic" w:hAnsi="Century Gothic"/>
          <w:bCs/>
          <w:color w:val="000000" w:themeColor="text1"/>
        </w:rPr>
        <w:t xml:space="preserve">a </w:t>
      </w:r>
      <w:r w:rsidRPr="00170E64">
        <w:rPr>
          <w:rFonts w:ascii="Century Gothic" w:hAnsi="Century Gothic"/>
          <w:bCs/>
          <w:color w:val="000000" w:themeColor="text1"/>
        </w:rPr>
        <w:t>mechanism that is created, develop</w:t>
      </w:r>
      <w:r w:rsidR="00CB62C5">
        <w:rPr>
          <w:rFonts w:ascii="Century Gothic" w:hAnsi="Century Gothic"/>
          <w:bCs/>
          <w:color w:val="000000" w:themeColor="text1"/>
        </w:rPr>
        <w:t>ed</w:t>
      </w:r>
      <w:r w:rsidRPr="00170E64">
        <w:rPr>
          <w:rFonts w:ascii="Century Gothic" w:hAnsi="Century Gothic"/>
          <w:bCs/>
          <w:color w:val="000000" w:themeColor="text1"/>
        </w:rPr>
        <w:t xml:space="preserve"> and nurtured through consistent and sustained partnerships and coordination between specific groups of stakeholders that is underpinned by sharing critical DATA between partners, as is illustrated in the </w:t>
      </w:r>
      <w:r w:rsidR="00293021" w:rsidRPr="00170E64">
        <w:rPr>
          <w:rFonts w:ascii="Century Gothic" w:hAnsi="Century Gothic"/>
          <w:bCs/>
          <w:color w:val="000000" w:themeColor="text1"/>
        </w:rPr>
        <w:t xml:space="preserve">Apprenticeship </w:t>
      </w:r>
      <w:r w:rsidRPr="00170E64">
        <w:rPr>
          <w:rFonts w:ascii="Century Gothic" w:hAnsi="Century Gothic"/>
          <w:bCs/>
          <w:color w:val="000000" w:themeColor="text1"/>
        </w:rPr>
        <w:t>Game Changer infographic below.</w:t>
      </w:r>
    </w:p>
    <w:p w14:paraId="1D857C4E" w14:textId="77777777" w:rsidR="003769AD" w:rsidRPr="00170E64" w:rsidRDefault="003769AD" w:rsidP="003769AD">
      <w:pPr>
        <w:jc w:val="both"/>
        <w:rPr>
          <w:rFonts w:ascii="Century Gothic" w:hAnsi="Century Gothic"/>
          <w:bCs/>
          <w:color w:val="000000" w:themeColor="text1"/>
        </w:rPr>
      </w:pPr>
      <w:r w:rsidRPr="00170E64">
        <w:rPr>
          <w:rFonts w:ascii="Century Gothic" w:hAnsi="Century Gothic"/>
          <w:bCs/>
          <w:color w:val="000000" w:themeColor="text1"/>
        </w:rPr>
        <w:t xml:space="preserve">    </w:t>
      </w:r>
      <w:r w:rsidRPr="00170E64">
        <w:rPr>
          <w:rFonts w:ascii="Century Gothic" w:hAnsi="Century Gothic"/>
          <w:bCs/>
          <w:noProof/>
          <w:color w:val="000000" w:themeColor="text1"/>
          <w:lang w:eastAsia="en-ZA"/>
        </w:rPr>
        <w:drawing>
          <wp:inline distT="0" distB="0" distL="0" distR="0" wp14:anchorId="6B18360F" wp14:editId="1ADEC993">
            <wp:extent cx="5721350" cy="3417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8586" cy="3434048"/>
                    </a:xfrm>
                    <a:prstGeom prst="rect">
                      <a:avLst/>
                    </a:prstGeom>
                    <a:noFill/>
                  </pic:spPr>
                </pic:pic>
              </a:graphicData>
            </a:graphic>
          </wp:inline>
        </w:drawing>
      </w:r>
    </w:p>
    <w:p w14:paraId="24FE8D09" w14:textId="77777777" w:rsidR="003769AD" w:rsidRPr="00170E64" w:rsidRDefault="003769AD" w:rsidP="003769AD">
      <w:pPr>
        <w:jc w:val="center"/>
        <w:rPr>
          <w:b/>
          <w:color w:val="000000" w:themeColor="text1"/>
        </w:rPr>
      </w:pPr>
      <w:r w:rsidRPr="00170E64">
        <w:rPr>
          <w:b/>
          <w:color w:val="000000" w:themeColor="text1"/>
        </w:rPr>
        <w:t>Figure 2: The role of the Employer as a "BRIDGE” in Apprenticeship Game Changer</w:t>
      </w:r>
    </w:p>
    <w:p w14:paraId="54755DCC" w14:textId="352DA563" w:rsidR="003769AD" w:rsidRPr="00170E64" w:rsidRDefault="003769AD" w:rsidP="003769AD">
      <w:pPr>
        <w:jc w:val="both"/>
        <w:rPr>
          <w:rFonts w:ascii="Century Gothic" w:hAnsi="Century Gothic"/>
          <w:b/>
          <w:bCs/>
          <w:color w:val="000000" w:themeColor="text1"/>
        </w:rPr>
      </w:pPr>
      <w:r w:rsidRPr="00170E64">
        <w:rPr>
          <w:rFonts w:ascii="Century Gothic" w:hAnsi="Century Gothic"/>
          <w:bCs/>
          <w:color w:val="000000" w:themeColor="text1"/>
        </w:rPr>
        <w:t>Globally the most well-known bridging mechanism between the world of learning at an institution and the world of learning at work is the apprenticeship system that has seen a huge resurgence across the globe in the last decade. This not a surprise since apprenticeship training, especially if delivered at a world class standard, can raise the number of people in employment, increase individual and company productivity and enhance economic growth</w:t>
      </w:r>
      <w:r w:rsidRPr="00170E64">
        <w:rPr>
          <w:rStyle w:val="FootnoteReference"/>
          <w:rFonts w:ascii="Century Gothic" w:hAnsi="Century Gothic"/>
          <w:bCs/>
          <w:color w:val="000000" w:themeColor="text1"/>
        </w:rPr>
        <w:footnoteReference w:id="1"/>
      </w:r>
      <w:r w:rsidRPr="00170E64">
        <w:rPr>
          <w:rFonts w:ascii="Century Gothic" w:hAnsi="Century Gothic"/>
          <w:bCs/>
          <w:color w:val="000000" w:themeColor="text1"/>
        </w:rPr>
        <w:t xml:space="preserve">. Apprenticeship training resonates very clearly with the Goal of the </w:t>
      </w:r>
      <w:r w:rsidR="00293021" w:rsidRPr="00170E64">
        <w:rPr>
          <w:rFonts w:ascii="Century Gothic" w:hAnsi="Century Gothic"/>
          <w:bCs/>
          <w:color w:val="000000" w:themeColor="text1"/>
        </w:rPr>
        <w:t xml:space="preserve">Apprenticeship </w:t>
      </w:r>
      <w:r w:rsidRPr="00170E64">
        <w:rPr>
          <w:rFonts w:ascii="Century Gothic" w:hAnsi="Century Gothic"/>
          <w:bCs/>
          <w:color w:val="000000" w:themeColor="text1"/>
        </w:rPr>
        <w:t xml:space="preserve">Game Changer, </w:t>
      </w:r>
      <w:r w:rsidRPr="00170E64">
        <w:rPr>
          <w:rFonts w:ascii="Century Gothic" w:hAnsi="Century Gothic"/>
          <w:b/>
          <w:bCs/>
          <w:color w:val="000000" w:themeColor="text1"/>
        </w:rPr>
        <w:t>“To achieve sufficient, appropriately qualified technical &amp; vocational skilled people to meet the needs of prioritised economic growth areas in the Western Cape”.</w:t>
      </w:r>
    </w:p>
    <w:p w14:paraId="359C388C" w14:textId="77777777" w:rsidR="003769AD" w:rsidRPr="00170E64" w:rsidRDefault="003769AD" w:rsidP="003769AD">
      <w:pPr>
        <w:jc w:val="both"/>
        <w:rPr>
          <w:rFonts w:ascii="Century Gothic" w:hAnsi="Century Gothic"/>
          <w:bCs/>
          <w:color w:val="000000" w:themeColor="text1"/>
        </w:rPr>
      </w:pPr>
      <w:r w:rsidRPr="00170E64">
        <w:rPr>
          <w:rFonts w:ascii="Century Gothic" w:hAnsi="Century Gothic"/>
          <w:bCs/>
          <w:color w:val="000000" w:themeColor="text1"/>
        </w:rPr>
        <w:t xml:space="preserve">Employers in the context of the </w:t>
      </w:r>
      <w:r w:rsidR="0082257C">
        <w:rPr>
          <w:rFonts w:ascii="Century Gothic" w:hAnsi="Century Gothic"/>
          <w:bCs/>
          <w:color w:val="000000" w:themeColor="text1"/>
        </w:rPr>
        <w:t xml:space="preserve">Apprenticeship </w:t>
      </w:r>
      <w:r w:rsidRPr="00170E64">
        <w:rPr>
          <w:rFonts w:ascii="Century Gothic" w:hAnsi="Century Gothic"/>
          <w:bCs/>
          <w:color w:val="000000" w:themeColor="text1"/>
        </w:rPr>
        <w:t xml:space="preserve">Game Changer are defined at its broadest level as any workplace environment that allows a person, known as a learner, to </w:t>
      </w:r>
      <w:r w:rsidRPr="00170E64">
        <w:rPr>
          <w:rFonts w:ascii="Century Gothic" w:hAnsi="Century Gothic"/>
          <w:bCs/>
          <w:color w:val="000000" w:themeColor="text1"/>
        </w:rPr>
        <w:lastRenderedPageBreak/>
        <w:t xml:space="preserve">progressively over a period of time acquire knowledge and skills through applied practise to become a competent and productive worker in his or her </w:t>
      </w:r>
      <w:r w:rsidRPr="004A09D5">
        <w:rPr>
          <w:rFonts w:ascii="Century Gothic" w:hAnsi="Century Gothic"/>
          <w:bCs/>
          <w:color w:val="000000" w:themeColor="text1"/>
        </w:rPr>
        <w:t>chosen preferred occupation.</w:t>
      </w:r>
      <w:r w:rsidRPr="00170E64">
        <w:rPr>
          <w:rFonts w:ascii="Century Gothic" w:hAnsi="Century Gothic"/>
          <w:bCs/>
          <w:color w:val="000000" w:themeColor="text1"/>
        </w:rPr>
        <w:t xml:space="preserve"> This broad definition of a workplace is given a specific focus within the </w:t>
      </w:r>
      <w:r w:rsidR="00293021" w:rsidRPr="00170E64">
        <w:rPr>
          <w:rFonts w:ascii="Century Gothic" w:hAnsi="Century Gothic"/>
          <w:bCs/>
          <w:color w:val="000000" w:themeColor="text1"/>
        </w:rPr>
        <w:t xml:space="preserve">Apprenticeship </w:t>
      </w:r>
      <w:r w:rsidRPr="00170E64">
        <w:rPr>
          <w:rFonts w:ascii="Century Gothic" w:hAnsi="Century Gothic"/>
          <w:bCs/>
          <w:color w:val="000000" w:themeColor="text1"/>
        </w:rPr>
        <w:t xml:space="preserve">Game Changer to </w:t>
      </w:r>
      <w:r w:rsidR="00293021" w:rsidRPr="00170E64">
        <w:rPr>
          <w:rFonts w:ascii="Century Gothic" w:hAnsi="Century Gothic"/>
          <w:bCs/>
          <w:color w:val="000000" w:themeColor="text1"/>
        </w:rPr>
        <w:t>align to the</w:t>
      </w:r>
      <w:r w:rsidRPr="00170E64">
        <w:rPr>
          <w:rFonts w:ascii="Century Gothic" w:hAnsi="Century Gothic"/>
          <w:bCs/>
          <w:color w:val="000000" w:themeColor="text1"/>
        </w:rPr>
        <w:t xml:space="preserve"> occupations required by the five economic sectors noted under section 1, but is stressed that the workplace learning environment may not necessarily be within those economic sectors specifically. As an example, electricians are required, but an electrician could be developed within a mining se</w:t>
      </w:r>
      <w:r w:rsidR="004C72E9">
        <w:rPr>
          <w:rFonts w:ascii="Century Gothic" w:hAnsi="Century Gothic"/>
          <w:bCs/>
          <w:color w:val="000000" w:themeColor="text1"/>
        </w:rPr>
        <w:t xml:space="preserve">ctor and then find work in the </w:t>
      </w:r>
      <w:proofErr w:type="spellStart"/>
      <w:r w:rsidR="004C72E9">
        <w:rPr>
          <w:rFonts w:ascii="Century Gothic" w:hAnsi="Century Gothic"/>
          <w:bCs/>
          <w:color w:val="000000" w:themeColor="text1"/>
        </w:rPr>
        <w:t>A</w:t>
      </w:r>
      <w:r w:rsidRPr="00170E64">
        <w:rPr>
          <w:rFonts w:ascii="Century Gothic" w:hAnsi="Century Gothic"/>
          <w:bCs/>
          <w:color w:val="000000" w:themeColor="text1"/>
        </w:rPr>
        <w:t>gri</w:t>
      </w:r>
      <w:proofErr w:type="spellEnd"/>
      <w:r w:rsidRPr="00170E64">
        <w:rPr>
          <w:rFonts w:ascii="Century Gothic" w:hAnsi="Century Gothic"/>
          <w:bCs/>
          <w:color w:val="000000" w:themeColor="text1"/>
        </w:rPr>
        <w:t xml:space="preserve">-processing sector. Competence is occupation based with sector competence being acquired through day to day work practises. </w:t>
      </w:r>
    </w:p>
    <w:p w14:paraId="453219BE" w14:textId="77777777" w:rsidR="003769AD" w:rsidRPr="00170E64" w:rsidRDefault="003769AD" w:rsidP="003769AD">
      <w:pPr>
        <w:jc w:val="both"/>
        <w:rPr>
          <w:rFonts w:ascii="Century Gothic" w:hAnsi="Century Gothic" w:cs="Arial"/>
          <w:color w:val="000000" w:themeColor="text1"/>
          <w:sz w:val="24"/>
        </w:rPr>
      </w:pPr>
      <w:r w:rsidRPr="00170E64">
        <w:rPr>
          <w:rFonts w:ascii="Century Gothic" w:hAnsi="Century Gothic"/>
          <w:bCs/>
          <w:color w:val="000000" w:themeColor="text1"/>
        </w:rPr>
        <w:t>This approach to workplaces therefore allows the inclusion of not only the private sector but also government at all levels, state owned companies, NG</w:t>
      </w:r>
      <w:r w:rsidR="004C72E9">
        <w:rPr>
          <w:rFonts w:ascii="Century Gothic" w:hAnsi="Century Gothic"/>
          <w:bCs/>
          <w:color w:val="000000" w:themeColor="text1"/>
        </w:rPr>
        <w:t>Os etc.</w:t>
      </w:r>
      <w:r w:rsidRPr="00170E64">
        <w:rPr>
          <w:rFonts w:ascii="Century Gothic" w:hAnsi="Century Gothic"/>
          <w:bCs/>
          <w:color w:val="000000" w:themeColor="text1"/>
        </w:rPr>
        <w:t xml:space="preserve"> the only base requisite is an environment that allows quality learning to take place. The tools, equipment, infrastructure that is required for the quality learning environment differs from occupation to occupation such as that required by an electrician compared to a chef, but the one common denominator across all workplace based learning environments is presence of an “expert” or “master” often known as a mentor or coach, historically also known as a journeyman within traditional apprenticeship systems. A recent study on workplace learning in the Western Cape has affirmed this critical need of these experts as mentors to learners with k</w:t>
      </w:r>
      <w:r w:rsidRPr="00170E64">
        <w:rPr>
          <w:rFonts w:ascii="Century Gothic" w:hAnsi="Century Gothic" w:cs="Arial"/>
          <w:color w:val="000000" w:themeColor="text1"/>
          <w:sz w:val="24"/>
        </w:rPr>
        <w:t xml:space="preserve">ey learnings in the study ultimately pointing </w:t>
      </w:r>
      <w:r w:rsidRPr="00170E64">
        <w:rPr>
          <w:rFonts w:ascii="Century Gothic" w:hAnsi="Century Gothic" w:cs="Arial"/>
          <w:i/>
          <w:color w:val="000000" w:themeColor="text1"/>
          <w:sz w:val="24"/>
        </w:rPr>
        <w:t>“to the need for collective effort in appreciating and retaining for the benefit of future generations of artisans, the mentoring potential that exists in our expert artisans wherever they may be found”</w:t>
      </w:r>
      <w:r w:rsidRPr="00170E64">
        <w:rPr>
          <w:rStyle w:val="FootnoteReference"/>
          <w:rFonts w:ascii="Century Gothic" w:hAnsi="Century Gothic" w:cs="Arial"/>
          <w:color w:val="000000" w:themeColor="text1"/>
          <w:sz w:val="24"/>
        </w:rPr>
        <w:footnoteReference w:id="2"/>
      </w:r>
      <w:r w:rsidRPr="00170E64">
        <w:rPr>
          <w:rFonts w:ascii="Century Gothic" w:hAnsi="Century Gothic" w:cs="Arial"/>
          <w:color w:val="000000" w:themeColor="text1"/>
          <w:sz w:val="24"/>
        </w:rPr>
        <w:t>.</w:t>
      </w:r>
    </w:p>
    <w:p w14:paraId="2E12616C" w14:textId="437C417D" w:rsidR="003769AD" w:rsidRPr="00170E64" w:rsidRDefault="003769AD" w:rsidP="003769AD">
      <w:pPr>
        <w:jc w:val="both"/>
        <w:rPr>
          <w:rFonts w:ascii="Century Gothic" w:hAnsi="Century Gothic"/>
          <w:bCs/>
          <w:color w:val="000000" w:themeColor="text1"/>
        </w:rPr>
      </w:pPr>
      <w:r w:rsidRPr="00170E64">
        <w:rPr>
          <w:rFonts w:ascii="Century Gothic" w:hAnsi="Century Gothic"/>
          <w:bCs/>
          <w:color w:val="000000" w:themeColor="text1"/>
        </w:rPr>
        <w:t xml:space="preserve">This guideline describes </w:t>
      </w:r>
      <w:r w:rsidR="00293021" w:rsidRPr="00170E64">
        <w:rPr>
          <w:rFonts w:ascii="Century Gothic" w:hAnsi="Century Gothic"/>
          <w:bCs/>
          <w:color w:val="000000" w:themeColor="text1"/>
        </w:rPr>
        <w:t xml:space="preserve">mechanisms </w:t>
      </w:r>
      <w:r w:rsidRPr="00170E64">
        <w:rPr>
          <w:rFonts w:ascii="Century Gothic" w:hAnsi="Century Gothic"/>
          <w:bCs/>
          <w:color w:val="000000" w:themeColor="text1"/>
        </w:rPr>
        <w:t xml:space="preserve">to establish and sustain multi stakeholder </w:t>
      </w:r>
      <w:r w:rsidR="00293021" w:rsidRPr="00170E64">
        <w:rPr>
          <w:rFonts w:ascii="Century Gothic" w:hAnsi="Century Gothic"/>
          <w:bCs/>
          <w:color w:val="000000" w:themeColor="text1"/>
        </w:rPr>
        <w:t xml:space="preserve">processes </w:t>
      </w:r>
      <w:r w:rsidRPr="00170E64">
        <w:rPr>
          <w:rFonts w:ascii="Century Gothic" w:hAnsi="Century Gothic"/>
          <w:bCs/>
          <w:color w:val="000000" w:themeColor="text1"/>
        </w:rPr>
        <w:t xml:space="preserve">to determine occupations and numbers thereof required by employers to grow the five prioritised economic sectors of the Western Cape and includes the development of mentoring capacity for such occupations either within each sector or in other sectors that can develop relevant occupations. The approach taken is one that considers the learning experiences from attempts by national processes such as the Strategic Integrated Projects (SIPs) and Operation Phakisa as well as provincial processes such as </w:t>
      </w:r>
      <w:proofErr w:type="spellStart"/>
      <w:r w:rsidRPr="00170E64">
        <w:rPr>
          <w:rFonts w:ascii="Century Gothic" w:hAnsi="Century Gothic"/>
          <w:bCs/>
          <w:color w:val="000000" w:themeColor="text1"/>
        </w:rPr>
        <w:t>Khulisa</w:t>
      </w:r>
      <w:proofErr w:type="spellEnd"/>
      <w:r w:rsidRPr="00170E64">
        <w:rPr>
          <w:rFonts w:ascii="Century Gothic" w:hAnsi="Century Gothic"/>
          <w:bCs/>
          <w:color w:val="000000" w:themeColor="text1"/>
        </w:rPr>
        <w:t xml:space="preserve"> to involve employers into the process of determining the actual, accurate skill needs for their sectors.  </w:t>
      </w:r>
    </w:p>
    <w:p w14:paraId="12302615" w14:textId="07CBEA27" w:rsidR="003769AD" w:rsidRPr="004A09D5" w:rsidRDefault="00312BF0" w:rsidP="004A09D5">
      <w:pPr>
        <w:jc w:val="both"/>
        <w:rPr>
          <w:rFonts w:ascii="Century Gothic" w:hAnsi="Century Gothic"/>
          <w:bCs/>
          <w:color w:val="000000" w:themeColor="text1"/>
        </w:rPr>
      </w:pPr>
      <w:r>
        <w:rPr>
          <w:rFonts w:ascii="Century Gothic" w:hAnsi="Century Gothic"/>
          <w:bCs/>
          <w:color w:val="000000" w:themeColor="text1"/>
        </w:rPr>
        <w:t>To involve stakeholders at a</w:t>
      </w:r>
      <w:r w:rsidR="003769AD" w:rsidRPr="004A09D5">
        <w:rPr>
          <w:rFonts w:ascii="Century Gothic" w:hAnsi="Century Gothic"/>
          <w:bCs/>
          <w:color w:val="000000" w:themeColor="text1"/>
        </w:rPr>
        <w:t xml:space="preserve"> technical operational level involves stakeholders who as part of their day to day work are required to determine skills development needs and deliver on such needs – typically this includes relevant Government Departments</w:t>
      </w:r>
      <w:r w:rsidR="003D4ED6">
        <w:rPr>
          <w:rFonts w:ascii="Century Gothic" w:hAnsi="Century Gothic"/>
          <w:bCs/>
          <w:color w:val="000000" w:themeColor="text1"/>
        </w:rPr>
        <w:t>,</w:t>
      </w:r>
      <w:r w:rsidR="009D675C" w:rsidRPr="004A09D5">
        <w:rPr>
          <w:rFonts w:ascii="Century Gothic" w:hAnsi="Century Gothic"/>
          <w:bCs/>
          <w:color w:val="000000" w:themeColor="text1"/>
        </w:rPr>
        <w:t xml:space="preserve"> Sector Education Training Authorities, </w:t>
      </w:r>
      <w:r w:rsidR="003769AD" w:rsidRPr="004A09D5">
        <w:rPr>
          <w:rFonts w:ascii="Century Gothic" w:hAnsi="Century Gothic"/>
          <w:bCs/>
          <w:color w:val="000000" w:themeColor="text1"/>
        </w:rPr>
        <w:t xml:space="preserve">Providers of Education and Training and </w:t>
      </w:r>
      <w:r w:rsidR="009D675C" w:rsidRPr="004A09D5">
        <w:rPr>
          <w:rFonts w:ascii="Century Gothic" w:hAnsi="Century Gothic"/>
          <w:bCs/>
          <w:color w:val="000000" w:themeColor="text1"/>
        </w:rPr>
        <w:t xml:space="preserve">representatives from </w:t>
      </w:r>
      <w:r w:rsidR="003769AD" w:rsidRPr="004A09D5">
        <w:rPr>
          <w:rFonts w:ascii="Century Gothic" w:hAnsi="Century Gothic"/>
          <w:bCs/>
          <w:color w:val="000000" w:themeColor="text1"/>
        </w:rPr>
        <w:t xml:space="preserve">employer </w:t>
      </w:r>
      <w:r w:rsidR="009D675C" w:rsidRPr="004A09D5">
        <w:rPr>
          <w:rFonts w:ascii="Century Gothic" w:hAnsi="Century Gothic"/>
          <w:bCs/>
          <w:color w:val="000000" w:themeColor="text1"/>
        </w:rPr>
        <w:t xml:space="preserve">and organised labour </w:t>
      </w:r>
      <w:r w:rsidR="003769AD" w:rsidRPr="004A09D5">
        <w:rPr>
          <w:rFonts w:ascii="Century Gothic" w:hAnsi="Century Gothic"/>
          <w:bCs/>
          <w:color w:val="000000" w:themeColor="text1"/>
        </w:rPr>
        <w:t xml:space="preserve">structures. For the Apprenticeship Game Changer </w:t>
      </w:r>
      <w:r>
        <w:rPr>
          <w:rFonts w:ascii="Century Gothic" w:hAnsi="Century Gothic"/>
          <w:bCs/>
          <w:color w:val="000000" w:themeColor="text1"/>
        </w:rPr>
        <w:t>this</w:t>
      </w:r>
      <w:r w:rsidR="003769AD" w:rsidRPr="004A09D5">
        <w:rPr>
          <w:rFonts w:ascii="Century Gothic" w:hAnsi="Century Gothic"/>
          <w:bCs/>
          <w:color w:val="000000" w:themeColor="text1"/>
        </w:rPr>
        <w:t xml:space="preserve"> is called Technical Advisory Forums or TAFs</w:t>
      </w:r>
      <w:r w:rsidR="000D7768">
        <w:rPr>
          <w:rFonts w:ascii="Century Gothic" w:hAnsi="Century Gothic"/>
          <w:bCs/>
          <w:color w:val="000000" w:themeColor="text1"/>
        </w:rPr>
        <w:t>.</w:t>
      </w:r>
    </w:p>
    <w:p w14:paraId="5C31AFCC" w14:textId="77777777" w:rsidR="003769AD" w:rsidRPr="00170E64" w:rsidRDefault="003769AD" w:rsidP="003769AD">
      <w:pPr>
        <w:pStyle w:val="ListParagraph"/>
        <w:jc w:val="both"/>
        <w:rPr>
          <w:rFonts w:ascii="Century Gothic" w:hAnsi="Century Gothic"/>
          <w:bCs/>
          <w:color w:val="000000" w:themeColor="text1"/>
        </w:rPr>
      </w:pPr>
    </w:p>
    <w:p w14:paraId="0D3CAB65" w14:textId="4DAB8BD7" w:rsidR="003769AD" w:rsidRPr="00170E64" w:rsidRDefault="003769AD" w:rsidP="003769AD">
      <w:pPr>
        <w:rPr>
          <w:rFonts w:ascii="Century Gothic" w:hAnsi="Century Gothic"/>
          <w:bCs/>
          <w:color w:val="000000" w:themeColor="text1"/>
        </w:rPr>
      </w:pPr>
      <w:r w:rsidRPr="00170E64">
        <w:rPr>
          <w:rFonts w:ascii="Century Gothic" w:hAnsi="Century Gothic"/>
          <w:bCs/>
          <w:color w:val="000000" w:themeColor="text1"/>
        </w:rPr>
        <w:lastRenderedPageBreak/>
        <w:t xml:space="preserve">The modus operandi for the establishment and sustainability of each </w:t>
      </w:r>
      <w:r w:rsidR="00F3462C" w:rsidRPr="00170E64">
        <w:rPr>
          <w:rFonts w:ascii="Century Gothic" w:hAnsi="Century Gothic"/>
          <w:bCs/>
          <w:color w:val="000000" w:themeColor="text1"/>
        </w:rPr>
        <w:t>t</w:t>
      </w:r>
      <w:r w:rsidRPr="00170E64">
        <w:rPr>
          <w:rFonts w:ascii="Century Gothic" w:hAnsi="Century Gothic"/>
          <w:bCs/>
          <w:color w:val="000000" w:themeColor="text1"/>
        </w:rPr>
        <w:t>ier is explained hereunder</w:t>
      </w:r>
      <w:r w:rsidR="000D7768">
        <w:rPr>
          <w:rFonts w:ascii="Century Gothic" w:hAnsi="Century Gothic"/>
          <w:bCs/>
          <w:color w:val="000000" w:themeColor="text1"/>
        </w:rPr>
        <w:t>.</w:t>
      </w:r>
    </w:p>
    <w:p w14:paraId="6B87EEB9" w14:textId="77777777" w:rsidR="003769AD" w:rsidRDefault="003769AD" w:rsidP="003769AD">
      <w:pPr>
        <w:pStyle w:val="ListParagraph"/>
        <w:numPr>
          <w:ilvl w:val="0"/>
          <w:numId w:val="9"/>
        </w:numPr>
        <w:spacing w:after="0"/>
        <w:jc w:val="both"/>
        <w:rPr>
          <w:rFonts w:ascii="Century Gothic" w:hAnsi="Century Gothic"/>
          <w:b/>
          <w:bCs/>
          <w:color w:val="000000" w:themeColor="text1"/>
        </w:rPr>
      </w:pPr>
      <w:r w:rsidRPr="00170E64">
        <w:rPr>
          <w:rFonts w:ascii="Century Gothic" w:hAnsi="Century Gothic"/>
          <w:b/>
          <w:bCs/>
          <w:color w:val="000000" w:themeColor="text1"/>
        </w:rPr>
        <w:t>Technical Advisory Forums or TAFs</w:t>
      </w:r>
    </w:p>
    <w:p w14:paraId="283A2F40" w14:textId="77777777" w:rsidR="00A45E34" w:rsidRPr="00170E64" w:rsidRDefault="00A45E34" w:rsidP="004A09D5">
      <w:pPr>
        <w:pStyle w:val="ListParagraph"/>
        <w:spacing w:after="0"/>
        <w:jc w:val="both"/>
        <w:rPr>
          <w:rFonts w:ascii="Century Gothic" w:hAnsi="Century Gothic"/>
          <w:b/>
          <w:bCs/>
          <w:color w:val="000000" w:themeColor="text1"/>
        </w:rPr>
      </w:pPr>
    </w:p>
    <w:p w14:paraId="58DE0F6A" w14:textId="77777777" w:rsidR="003769AD" w:rsidRDefault="003769AD" w:rsidP="003769AD">
      <w:pPr>
        <w:jc w:val="both"/>
        <w:rPr>
          <w:rFonts w:ascii="Century Gothic" w:hAnsi="Century Gothic"/>
          <w:bCs/>
          <w:color w:val="000000" w:themeColor="text1"/>
        </w:rPr>
      </w:pPr>
      <w:r w:rsidRPr="00170E64">
        <w:rPr>
          <w:rFonts w:ascii="Century Gothic" w:hAnsi="Century Gothic"/>
          <w:bCs/>
          <w:color w:val="000000" w:themeColor="text1"/>
        </w:rPr>
        <w:t>As a principle, the establishment</w:t>
      </w:r>
      <w:r w:rsidR="00F3462C" w:rsidRPr="00170E64">
        <w:rPr>
          <w:rFonts w:ascii="Century Gothic" w:hAnsi="Century Gothic"/>
          <w:bCs/>
          <w:color w:val="000000" w:themeColor="text1"/>
        </w:rPr>
        <w:t xml:space="preserve"> and sustainability </w:t>
      </w:r>
      <w:r w:rsidRPr="00170E64">
        <w:rPr>
          <w:rFonts w:ascii="Century Gothic" w:hAnsi="Century Gothic"/>
          <w:bCs/>
          <w:color w:val="000000" w:themeColor="text1"/>
        </w:rPr>
        <w:t xml:space="preserve">of the TAFs for the Apprenticeship Game Changer must consider existing structures that are involved or could serve as </w:t>
      </w:r>
      <w:r w:rsidR="00A32648" w:rsidRPr="00170E64">
        <w:rPr>
          <w:rFonts w:ascii="Century Gothic" w:hAnsi="Century Gothic"/>
          <w:bCs/>
          <w:color w:val="000000" w:themeColor="text1"/>
        </w:rPr>
        <w:t xml:space="preserve">support processes for each </w:t>
      </w:r>
      <w:r w:rsidRPr="00170E64">
        <w:rPr>
          <w:rFonts w:ascii="Century Gothic" w:hAnsi="Century Gothic"/>
          <w:bCs/>
          <w:color w:val="000000" w:themeColor="text1"/>
        </w:rPr>
        <w:t>TAF for the relevant priority economic sector to avoid duplicat</w:t>
      </w:r>
      <w:r w:rsidR="00A32648" w:rsidRPr="00170E64">
        <w:rPr>
          <w:rFonts w:ascii="Century Gothic" w:hAnsi="Century Gothic"/>
          <w:bCs/>
          <w:color w:val="000000" w:themeColor="text1"/>
        </w:rPr>
        <w:t xml:space="preserve">ed work and </w:t>
      </w:r>
      <w:r w:rsidRPr="00170E64">
        <w:rPr>
          <w:rFonts w:ascii="Century Gothic" w:hAnsi="Century Gothic"/>
          <w:bCs/>
          <w:color w:val="000000" w:themeColor="text1"/>
        </w:rPr>
        <w:t xml:space="preserve">to leverage existing work already in progress.  Although there may be nuanced differences between each TAF, the generic </w:t>
      </w:r>
      <w:r w:rsidR="00A32648" w:rsidRPr="00170E64">
        <w:rPr>
          <w:rFonts w:ascii="Century Gothic" w:hAnsi="Century Gothic"/>
          <w:bCs/>
          <w:color w:val="000000" w:themeColor="text1"/>
        </w:rPr>
        <w:t xml:space="preserve">outputs </w:t>
      </w:r>
      <w:r w:rsidRPr="00170E64">
        <w:rPr>
          <w:rFonts w:ascii="Century Gothic" w:hAnsi="Century Gothic"/>
          <w:bCs/>
          <w:color w:val="000000" w:themeColor="text1"/>
        </w:rPr>
        <w:t>for each TAF</w:t>
      </w:r>
      <w:r w:rsidR="00FB0B65">
        <w:rPr>
          <w:rFonts w:ascii="Century Gothic" w:hAnsi="Century Gothic"/>
          <w:bCs/>
          <w:color w:val="000000" w:themeColor="text1"/>
        </w:rPr>
        <w:t xml:space="preserve"> (with the exclusion of the Assessment-RPL-Mentor TAF)</w:t>
      </w:r>
      <w:r w:rsidRPr="00170E64">
        <w:rPr>
          <w:rFonts w:ascii="Century Gothic" w:hAnsi="Century Gothic"/>
          <w:bCs/>
          <w:color w:val="000000" w:themeColor="text1"/>
        </w:rPr>
        <w:t xml:space="preserve"> for each economic priority sector to support the Goal and Outcomes of the Apprenticeship Game Changer will include the following functions:</w:t>
      </w:r>
    </w:p>
    <w:p w14:paraId="5A02380A" w14:textId="77777777" w:rsidR="003769AD" w:rsidRPr="004C72E9" w:rsidRDefault="003769AD" w:rsidP="004C72E9">
      <w:pPr>
        <w:pStyle w:val="ListParagraph"/>
        <w:numPr>
          <w:ilvl w:val="0"/>
          <w:numId w:val="16"/>
        </w:numPr>
        <w:spacing w:after="0" w:line="360" w:lineRule="auto"/>
        <w:jc w:val="both"/>
        <w:rPr>
          <w:rFonts w:ascii="Century Gothic" w:hAnsi="Century Gothic"/>
          <w:bCs/>
          <w:color w:val="000000" w:themeColor="text1"/>
        </w:rPr>
      </w:pPr>
      <w:bookmarkStart w:id="0" w:name="_GoBack"/>
      <w:r w:rsidRPr="00170E64">
        <w:rPr>
          <w:rFonts w:ascii="Century Gothic" w:hAnsi="Century Gothic"/>
          <w:bCs/>
          <w:color w:val="000000" w:themeColor="text1"/>
        </w:rPr>
        <w:t xml:space="preserve">The identification of the occupations needed in the sector; </w:t>
      </w:r>
    </w:p>
    <w:p w14:paraId="222CAC01" w14:textId="00EE9ABF" w:rsidR="003769AD" w:rsidRPr="00170E64" w:rsidRDefault="003769AD" w:rsidP="00B70985">
      <w:pPr>
        <w:pStyle w:val="ListParagraph"/>
        <w:numPr>
          <w:ilvl w:val="0"/>
          <w:numId w:val="16"/>
        </w:numPr>
        <w:spacing w:after="0" w:line="360" w:lineRule="auto"/>
        <w:jc w:val="both"/>
        <w:rPr>
          <w:rFonts w:ascii="Century Gothic" w:hAnsi="Century Gothic"/>
          <w:bCs/>
          <w:color w:val="000000" w:themeColor="text1"/>
        </w:rPr>
      </w:pPr>
      <w:r w:rsidRPr="00170E64">
        <w:rPr>
          <w:rFonts w:ascii="Century Gothic" w:hAnsi="Century Gothic"/>
          <w:bCs/>
          <w:color w:val="000000" w:themeColor="text1"/>
        </w:rPr>
        <w:t>The identification of the employers in the sector;</w:t>
      </w:r>
    </w:p>
    <w:p w14:paraId="26CF6A12" w14:textId="77777777" w:rsidR="003769AD" w:rsidRPr="004C72E9" w:rsidRDefault="003769AD" w:rsidP="004C72E9">
      <w:pPr>
        <w:pStyle w:val="ListParagraph"/>
        <w:numPr>
          <w:ilvl w:val="0"/>
          <w:numId w:val="16"/>
        </w:numPr>
        <w:spacing w:after="0" w:line="360" w:lineRule="auto"/>
        <w:jc w:val="both"/>
        <w:rPr>
          <w:rFonts w:ascii="Century Gothic" w:hAnsi="Century Gothic"/>
          <w:bCs/>
          <w:color w:val="000000" w:themeColor="text1"/>
        </w:rPr>
      </w:pPr>
      <w:r w:rsidRPr="00170E64">
        <w:rPr>
          <w:rFonts w:ascii="Century Gothic" w:hAnsi="Century Gothic"/>
          <w:bCs/>
          <w:color w:val="000000" w:themeColor="text1"/>
        </w:rPr>
        <w:t xml:space="preserve">The identification of the short courses and/or specialisation training required by the sector; </w:t>
      </w:r>
    </w:p>
    <w:p w14:paraId="7E2507DB" w14:textId="4225B85F" w:rsidR="003769AD" w:rsidRPr="004C72E9" w:rsidRDefault="003769AD" w:rsidP="004C72E9">
      <w:pPr>
        <w:pStyle w:val="ListParagraph"/>
        <w:numPr>
          <w:ilvl w:val="0"/>
          <w:numId w:val="16"/>
        </w:numPr>
        <w:spacing w:after="0" w:line="360" w:lineRule="auto"/>
        <w:jc w:val="both"/>
        <w:rPr>
          <w:rFonts w:ascii="Century Gothic" w:hAnsi="Century Gothic"/>
          <w:bCs/>
          <w:color w:val="000000" w:themeColor="text1"/>
        </w:rPr>
      </w:pPr>
      <w:r w:rsidRPr="00170E64">
        <w:rPr>
          <w:rFonts w:ascii="Century Gothic" w:hAnsi="Century Gothic"/>
          <w:bCs/>
          <w:color w:val="000000" w:themeColor="text1"/>
        </w:rPr>
        <w:t xml:space="preserve">The facilitation of sector </w:t>
      </w:r>
      <w:r w:rsidR="00417EEC" w:rsidRPr="00170E64">
        <w:rPr>
          <w:rFonts w:ascii="Century Gothic" w:hAnsi="Century Gothic"/>
          <w:bCs/>
          <w:color w:val="000000" w:themeColor="text1"/>
        </w:rPr>
        <w:t>employer</w:t>
      </w:r>
      <w:r w:rsidR="00417EEC">
        <w:rPr>
          <w:rFonts w:ascii="Century Gothic" w:hAnsi="Century Gothic"/>
          <w:bCs/>
          <w:color w:val="000000" w:themeColor="text1"/>
        </w:rPr>
        <w:t>’s</w:t>
      </w:r>
      <w:r w:rsidRPr="00170E64">
        <w:rPr>
          <w:rFonts w:ascii="Century Gothic" w:hAnsi="Century Gothic"/>
          <w:bCs/>
          <w:color w:val="000000" w:themeColor="text1"/>
        </w:rPr>
        <w:t xml:space="preserve"> participation on the </w:t>
      </w:r>
      <w:r w:rsidR="00E57662">
        <w:rPr>
          <w:rFonts w:ascii="Century Gothic" w:hAnsi="Century Gothic"/>
          <w:bCs/>
          <w:color w:val="000000" w:themeColor="text1"/>
        </w:rPr>
        <w:t>Apprenticeship Game Changer</w:t>
      </w:r>
      <w:r w:rsidR="00C25BA1">
        <w:rPr>
          <w:rFonts w:ascii="Century Gothic" w:hAnsi="Century Gothic"/>
          <w:bCs/>
          <w:color w:val="000000" w:themeColor="text1"/>
        </w:rPr>
        <w:t>’s Skills Intelligence Platform</w:t>
      </w:r>
      <w:r w:rsidRPr="00170E64">
        <w:rPr>
          <w:rFonts w:ascii="Century Gothic" w:hAnsi="Century Gothic"/>
          <w:bCs/>
          <w:color w:val="000000" w:themeColor="text1"/>
        </w:rPr>
        <w:t>;</w:t>
      </w:r>
      <w:r w:rsidRPr="004C72E9">
        <w:rPr>
          <w:rFonts w:ascii="Century Gothic" w:hAnsi="Century Gothic"/>
          <w:bCs/>
          <w:color w:val="000000" w:themeColor="text1"/>
        </w:rPr>
        <w:t xml:space="preserve"> </w:t>
      </w:r>
    </w:p>
    <w:p w14:paraId="6DAB5C29" w14:textId="5C9DC0D4" w:rsidR="003769AD" w:rsidRPr="00170E64" w:rsidRDefault="003769AD" w:rsidP="00B70985">
      <w:pPr>
        <w:pStyle w:val="ListParagraph"/>
        <w:numPr>
          <w:ilvl w:val="0"/>
          <w:numId w:val="16"/>
        </w:numPr>
        <w:spacing w:after="0" w:line="360" w:lineRule="auto"/>
        <w:jc w:val="both"/>
        <w:rPr>
          <w:rFonts w:ascii="Century Gothic" w:hAnsi="Century Gothic"/>
          <w:bCs/>
          <w:color w:val="000000" w:themeColor="text1"/>
        </w:rPr>
      </w:pPr>
      <w:r w:rsidRPr="00170E64">
        <w:rPr>
          <w:rFonts w:ascii="Century Gothic" w:hAnsi="Century Gothic"/>
          <w:bCs/>
          <w:color w:val="000000" w:themeColor="text1"/>
        </w:rPr>
        <w:t xml:space="preserve">The facilitation of recognition of prior learning candidates; </w:t>
      </w:r>
    </w:p>
    <w:p w14:paraId="61FB779F" w14:textId="2AFB721D" w:rsidR="003769AD" w:rsidRPr="004C72E9" w:rsidRDefault="003769AD" w:rsidP="004C72E9">
      <w:pPr>
        <w:pStyle w:val="ListParagraph"/>
        <w:numPr>
          <w:ilvl w:val="0"/>
          <w:numId w:val="16"/>
        </w:numPr>
        <w:spacing w:after="0" w:line="360" w:lineRule="auto"/>
        <w:jc w:val="both"/>
        <w:rPr>
          <w:rFonts w:ascii="Century Gothic" w:hAnsi="Century Gothic"/>
          <w:bCs/>
          <w:color w:val="000000" w:themeColor="text1"/>
        </w:rPr>
      </w:pPr>
      <w:r w:rsidRPr="00170E64">
        <w:rPr>
          <w:rFonts w:ascii="Century Gothic" w:hAnsi="Century Gothic"/>
          <w:bCs/>
          <w:color w:val="000000" w:themeColor="text1"/>
        </w:rPr>
        <w:t xml:space="preserve">The facilitation of workplace based mentors;  </w:t>
      </w:r>
      <w:r w:rsidR="004C72E9" w:rsidRPr="004C72E9">
        <w:rPr>
          <w:rFonts w:ascii="Century Gothic" w:hAnsi="Century Gothic"/>
          <w:bCs/>
          <w:color w:val="000000" w:themeColor="text1"/>
        </w:rPr>
        <w:t xml:space="preserve"> </w:t>
      </w:r>
    </w:p>
    <w:p w14:paraId="0728E9CE" w14:textId="6B4F03B9" w:rsidR="00CE4FDC" w:rsidRPr="00170E64" w:rsidRDefault="00CE4FDC" w:rsidP="00B70985">
      <w:pPr>
        <w:pStyle w:val="ListParagraph"/>
        <w:numPr>
          <w:ilvl w:val="0"/>
          <w:numId w:val="16"/>
        </w:numPr>
        <w:spacing w:after="0" w:line="360" w:lineRule="auto"/>
        <w:jc w:val="both"/>
        <w:rPr>
          <w:rFonts w:ascii="Century Gothic" w:hAnsi="Century Gothic"/>
          <w:bCs/>
          <w:color w:val="000000" w:themeColor="text1"/>
        </w:rPr>
      </w:pPr>
      <w:r w:rsidRPr="00170E64">
        <w:rPr>
          <w:rFonts w:ascii="Century Gothic" w:hAnsi="Century Gothic"/>
          <w:bCs/>
          <w:color w:val="000000" w:themeColor="text1"/>
        </w:rPr>
        <w:t xml:space="preserve">Preparation of a report on </w:t>
      </w:r>
      <w:r w:rsidR="00E20484">
        <w:rPr>
          <w:rFonts w:ascii="Century Gothic" w:hAnsi="Century Gothic"/>
          <w:bCs/>
          <w:color w:val="000000" w:themeColor="text1"/>
        </w:rPr>
        <w:t>above activities</w:t>
      </w:r>
      <w:r w:rsidRPr="00170E64">
        <w:rPr>
          <w:rFonts w:ascii="Century Gothic" w:hAnsi="Century Gothic"/>
          <w:bCs/>
          <w:color w:val="000000" w:themeColor="text1"/>
        </w:rPr>
        <w:t xml:space="preserve"> in the sector  </w:t>
      </w:r>
    </w:p>
    <w:bookmarkEnd w:id="0"/>
    <w:p w14:paraId="479E2B8C" w14:textId="77777777" w:rsidR="009D675C" w:rsidRDefault="009D675C" w:rsidP="003769AD">
      <w:pPr>
        <w:jc w:val="both"/>
        <w:rPr>
          <w:rFonts w:ascii="Century Gothic" w:hAnsi="Century Gothic"/>
          <w:bCs/>
          <w:color w:val="000000" w:themeColor="text1"/>
        </w:rPr>
      </w:pPr>
    </w:p>
    <w:p w14:paraId="19F97E0B" w14:textId="77777777" w:rsidR="003769AD" w:rsidRPr="00170E64" w:rsidRDefault="003769AD" w:rsidP="003769AD">
      <w:pPr>
        <w:jc w:val="both"/>
        <w:rPr>
          <w:rFonts w:ascii="Century Gothic" w:hAnsi="Century Gothic"/>
          <w:bCs/>
          <w:color w:val="000000" w:themeColor="text1"/>
        </w:rPr>
      </w:pPr>
      <w:r w:rsidRPr="00170E64">
        <w:rPr>
          <w:rFonts w:ascii="Century Gothic" w:hAnsi="Century Gothic"/>
          <w:bCs/>
          <w:color w:val="000000" w:themeColor="text1"/>
        </w:rPr>
        <w:t xml:space="preserve">With consideration for the above, the following are the five </w:t>
      </w:r>
      <w:r w:rsidR="00B70985">
        <w:rPr>
          <w:rFonts w:ascii="Century Gothic" w:hAnsi="Century Gothic"/>
          <w:bCs/>
          <w:color w:val="000000" w:themeColor="text1"/>
        </w:rPr>
        <w:t xml:space="preserve">sector based </w:t>
      </w:r>
      <w:r w:rsidRPr="00170E64">
        <w:rPr>
          <w:rFonts w:ascii="Century Gothic" w:hAnsi="Century Gothic"/>
          <w:bCs/>
          <w:color w:val="000000" w:themeColor="text1"/>
        </w:rPr>
        <w:t>TAFs</w:t>
      </w:r>
      <w:r w:rsidR="00B70985">
        <w:rPr>
          <w:rFonts w:ascii="Century Gothic" w:hAnsi="Century Gothic"/>
          <w:bCs/>
          <w:color w:val="000000" w:themeColor="text1"/>
        </w:rPr>
        <w:t xml:space="preserve">: </w:t>
      </w:r>
      <w:r w:rsidRPr="00170E64">
        <w:rPr>
          <w:rFonts w:ascii="Century Gothic" w:hAnsi="Century Gothic"/>
          <w:bCs/>
          <w:color w:val="000000" w:themeColor="text1"/>
        </w:rPr>
        <w:t xml:space="preserve">  </w:t>
      </w:r>
    </w:p>
    <w:p w14:paraId="136519DB" w14:textId="77777777" w:rsidR="003769AD" w:rsidRPr="00B70985" w:rsidRDefault="003769AD" w:rsidP="003769AD">
      <w:pPr>
        <w:pStyle w:val="ListParagraph"/>
        <w:numPr>
          <w:ilvl w:val="0"/>
          <w:numId w:val="6"/>
        </w:numPr>
        <w:spacing w:after="0"/>
        <w:jc w:val="both"/>
        <w:rPr>
          <w:rFonts w:ascii="Century Gothic" w:hAnsi="Century Gothic"/>
          <w:b/>
          <w:color w:val="000000" w:themeColor="text1"/>
        </w:rPr>
      </w:pPr>
      <w:r w:rsidRPr="00B70985">
        <w:rPr>
          <w:rFonts w:ascii="Century Gothic" w:hAnsi="Century Gothic"/>
          <w:b/>
          <w:color w:val="000000" w:themeColor="text1"/>
        </w:rPr>
        <w:t>Oil and Gas (including Rig Repair</w:t>
      </w:r>
      <w:r w:rsidR="002C6B37">
        <w:rPr>
          <w:rFonts w:ascii="Century Gothic" w:hAnsi="Century Gothic"/>
          <w:b/>
          <w:color w:val="000000" w:themeColor="text1"/>
        </w:rPr>
        <w:t xml:space="preserve"> and boat building</w:t>
      </w:r>
      <w:r w:rsidRPr="00B70985">
        <w:rPr>
          <w:rFonts w:ascii="Century Gothic" w:hAnsi="Century Gothic"/>
          <w:b/>
          <w:color w:val="000000" w:themeColor="text1"/>
        </w:rPr>
        <w:t>)</w:t>
      </w:r>
    </w:p>
    <w:p w14:paraId="289DA054" w14:textId="77777777" w:rsidR="003769AD" w:rsidRPr="00170E64" w:rsidRDefault="00B70985" w:rsidP="003769AD">
      <w:pPr>
        <w:pStyle w:val="ListParagraph"/>
        <w:numPr>
          <w:ilvl w:val="1"/>
          <w:numId w:val="6"/>
        </w:numPr>
        <w:spacing w:after="0"/>
        <w:jc w:val="both"/>
        <w:rPr>
          <w:rFonts w:ascii="Century Gothic" w:hAnsi="Century Gothic"/>
          <w:color w:val="000000" w:themeColor="text1"/>
        </w:rPr>
      </w:pPr>
      <w:r>
        <w:rPr>
          <w:rFonts w:ascii="Century Gothic" w:hAnsi="Century Gothic"/>
          <w:color w:val="000000" w:themeColor="text1"/>
        </w:rPr>
        <w:t>C</w:t>
      </w:r>
      <w:r w:rsidR="003769AD" w:rsidRPr="00170E64">
        <w:rPr>
          <w:rFonts w:ascii="Century Gothic" w:hAnsi="Century Gothic"/>
          <w:color w:val="000000" w:themeColor="text1"/>
        </w:rPr>
        <w:t xml:space="preserve">oordination: </w:t>
      </w:r>
      <w:r w:rsidR="007D3A99" w:rsidRPr="00170E64">
        <w:rPr>
          <w:rFonts w:ascii="Century Gothic" w:hAnsi="Century Gothic"/>
          <w:color w:val="000000" w:themeColor="text1"/>
        </w:rPr>
        <w:t>West Coast TVET College</w:t>
      </w:r>
      <w:r w:rsidR="00FB0B65">
        <w:rPr>
          <w:rFonts w:ascii="Century Gothic" w:hAnsi="Century Gothic"/>
          <w:color w:val="000000" w:themeColor="text1"/>
        </w:rPr>
        <w:t xml:space="preserve"> + SAOGA+S</w:t>
      </w:r>
      <w:r w:rsidR="00E52414">
        <w:rPr>
          <w:rFonts w:ascii="Century Gothic" w:hAnsi="Century Gothic"/>
          <w:color w:val="000000" w:themeColor="text1"/>
        </w:rPr>
        <w:t>B</w:t>
      </w:r>
      <w:r w:rsidR="00FB0B65">
        <w:rPr>
          <w:rFonts w:ascii="Century Gothic" w:hAnsi="Century Gothic"/>
          <w:color w:val="000000" w:themeColor="text1"/>
        </w:rPr>
        <w:t>I</w:t>
      </w:r>
      <w:r w:rsidR="00E52414">
        <w:rPr>
          <w:rFonts w:ascii="Century Gothic" w:hAnsi="Century Gothic"/>
          <w:color w:val="000000" w:themeColor="text1"/>
        </w:rPr>
        <w:t>D</w:t>
      </w:r>
      <w:r w:rsidR="00FB0B65">
        <w:rPr>
          <w:rFonts w:ascii="Century Gothic" w:hAnsi="Century Gothic"/>
          <w:color w:val="000000" w:themeColor="text1"/>
        </w:rPr>
        <w:t>Z</w:t>
      </w:r>
    </w:p>
    <w:p w14:paraId="421C9214" w14:textId="77777777" w:rsidR="003769AD" w:rsidRPr="00170E64" w:rsidRDefault="003769AD" w:rsidP="003769AD">
      <w:pPr>
        <w:pStyle w:val="ListParagraph"/>
        <w:numPr>
          <w:ilvl w:val="1"/>
          <w:numId w:val="6"/>
        </w:numPr>
        <w:spacing w:after="0"/>
        <w:jc w:val="both"/>
        <w:rPr>
          <w:rFonts w:ascii="Century Gothic" w:hAnsi="Century Gothic"/>
          <w:color w:val="000000" w:themeColor="text1"/>
        </w:rPr>
      </w:pPr>
      <w:r w:rsidRPr="00170E64">
        <w:rPr>
          <w:rFonts w:ascii="Century Gothic" w:hAnsi="Century Gothic"/>
          <w:color w:val="000000" w:themeColor="text1"/>
        </w:rPr>
        <w:t xml:space="preserve">Membership (that can be adjusted as required) </w:t>
      </w:r>
    </w:p>
    <w:p w14:paraId="5D1CE1C1" w14:textId="77777777" w:rsidR="003769AD" w:rsidRPr="00FB0B65" w:rsidRDefault="00FB0B65" w:rsidP="00A73D96">
      <w:pPr>
        <w:pStyle w:val="ListParagraph"/>
        <w:numPr>
          <w:ilvl w:val="2"/>
          <w:numId w:val="6"/>
        </w:numPr>
        <w:spacing w:after="0"/>
        <w:jc w:val="both"/>
        <w:rPr>
          <w:rFonts w:ascii="Century Gothic" w:hAnsi="Century Gothic"/>
          <w:color w:val="000000" w:themeColor="text1"/>
        </w:rPr>
      </w:pPr>
      <w:r w:rsidRPr="00FB0B65">
        <w:rPr>
          <w:rFonts w:ascii="Century Gothic" w:hAnsi="Century Gothic"/>
          <w:color w:val="000000" w:themeColor="text1"/>
        </w:rPr>
        <w:t>WCG (</w:t>
      </w:r>
      <w:r w:rsidR="003769AD" w:rsidRPr="00FB0B65">
        <w:rPr>
          <w:rFonts w:ascii="Century Gothic" w:hAnsi="Century Gothic"/>
          <w:color w:val="000000" w:themeColor="text1"/>
        </w:rPr>
        <w:t>DEDAT</w:t>
      </w:r>
      <w:r w:rsidRPr="00FB0B65">
        <w:rPr>
          <w:rFonts w:ascii="Century Gothic" w:hAnsi="Century Gothic"/>
          <w:color w:val="000000" w:themeColor="text1"/>
        </w:rPr>
        <w:t xml:space="preserve">, </w:t>
      </w:r>
      <w:r w:rsidR="003769AD" w:rsidRPr="00FB0B65">
        <w:rPr>
          <w:rFonts w:ascii="Century Gothic" w:hAnsi="Century Gothic"/>
          <w:color w:val="000000" w:themeColor="text1"/>
        </w:rPr>
        <w:t>DSU</w:t>
      </w:r>
      <w:r>
        <w:rPr>
          <w:rFonts w:ascii="Century Gothic" w:hAnsi="Century Gothic"/>
          <w:color w:val="000000" w:themeColor="text1"/>
        </w:rPr>
        <w:t>)</w:t>
      </w:r>
    </w:p>
    <w:p w14:paraId="380D96CF" w14:textId="77777777" w:rsidR="003769AD" w:rsidRPr="00170E64" w:rsidRDefault="00FB0B65" w:rsidP="003769AD">
      <w:pPr>
        <w:pStyle w:val="ListParagraph"/>
        <w:numPr>
          <w:ilvl w:val="2"/>
          <w:numId w:val="6"/>
        </w:numPr>
        <w:spacing w:after="0"/>
        <w:jc w:val="both"/>
        <w:rPr>
          <w:rFonts w:ascii="Century Gothic" w:hAnsi="Century Gothic"/>
          <w:color w:val="000000" w:themeColor="text1"/>
        </w:rPr>
      </w:pPr>
      <w:r>
        <w:rPr>
          <w:rFonts w:ascii="Century Gothic" w:hAnsi="Century Gothic"/>
          <w:color w:val="000000" w:themeColor="text1"/>
        </w:rPr>
        <w:t>Universities (CPUT)</w:t>
      </w:r>
      <w:r w:rsidR="001055AC" w:rsidRPr="00170E64">
        <w:rPr>
          <w:rFonts w:ascii="Century Gothic" w:hAnsi="Century Gothic"/>
          <w:color w:val="000000" w:themeColor="text1"/>
        </w:rPr>
        <w:t xml:space="preserve"> </w:t>
      </w:r>
    </w:p>
    <w:p w14:paraId="7C5F5A0A" w14:textId="77777777" w:rsidR="003769AD" w:rsidRPr="00170E64" w:rsidRDefault="003769AD" w:rsidP="003769AD">
      <w:pPr>
        <w:pStyle w:val="ListParagraph"/>
        <w:numPr>
          <w:ilvl w:val="2"/>
          <w:numId w:val="6"/>
        </w:numPr>
        <w:spacing w:after="0"/>
        <w:jc w:val="both"/>
        <w:rPr>
          <w:rFonts w:ascii="Century Gothic" w:hAnsi="Century Gothic"/>
          <w:color w:val="000000" w:themeColor="text1"/>
        </w:rPr>
      </w:pPr>
      <w:r w:rsidRPr="00170E64">
        <w:rPr>
          <w:rFonts w:ascii="Century Gothic" w:hAnsi="Century Gothic"/>
          <w:color w:val="000000" w:themeColor="text1"/>
        </w:rPr>
        <w:t>SETAs (</w:t>
      </w:r>
      <w:proofErr w:type="spellStart"/>
      <w:r w:rsidRPr="00170E64">
        <w:rPr>
          <w:rFonts w:ascii="Century Gothic" w:hAnsi="Century Gothic"/>
          <w:color w:val="000000" w:themeColor="text1"/>
        </w:rPr>
        <w:t>merSETA</w:t>
      </w:r>
      <w:proofErr w:type="spellEnd"/>
      <w:r w:rsidRPr="00170E64">
        <w:rPr>
          <w:rFonts w:ascii="Century Gothic" w:hAnsi="Century Gothic"/>
          <w:color w:val="000000" w:themeColor="text1"/>
        </w:rPr>
        <w:t>, CHIETA, TETA)</w:t>
      </w:r>
    </w:p>
    <w:p w14:paraId="710E1F7A" w14:textId="77777777" w:rsidR="003769AD" w:rsidRDefault="003769AD" w:rsidP="003769AD">
      <w:pPr>
        <w:pStyle w:val="ListParagraph"/>
        <w:numPr>
          <w:ilvl w:val="2"/>
          <w:numId w:val="6"/>
        </w:numPr>
        <w:spacing w:after="0"/>
        <w:jc w:val="both"/>
        <w:rPr>
          <w:rFonts w:ascii="Century Gothic" w:hAnsi="Century Gothic"/>
          <w:color w:val="000000" w:themeColor="text1"/>
        </w:rPr>
      </w:pPr>
      <w:r w:rsidRPr="00170E64">
        <w:rPr>
          <w:rFonts w:ascii="Century Gothic" w:hAnsi="Century Gothic"/>
          <w:color w:val="000000" w:themeColor="text1"/>
        </w:rPr>
        <w:t xml:space="preserve">Employer </w:t>
      </w:r>
      <w:r w:rsidR="00FB0B65">
        <w:rPr>
          <w:rFonts w:ascii="Century Gothic" w:hAnsi="Century Gothic"/>
          <w:color w:val="000000" w:themeColor="text1"/>
        </w:rPr>
        <w:t>Structures</w:t>
      </w:r>
    </w:p>
    <w:p w14:paraId="45DA7040" w14:textId="77777777" w:rsidR="00FB0B65" w:rsidRDefault="00FB0B65" w:rsidP="003769AD">
      <w:pPr>
        <w:pStyle w:val="ListParagraph"/>
        <w:numPr>
          <w:ilvl w:val="2"/>
          <w:numId w:val="6"/>
        </w:numPr>
        <w:spacing w:after="0"/>
        <w:jc w:val="both"/>
        <w:rPr>
          <w:rFonts w:ascii="Century Gothic" w:hAnsi="Century Gothic"/>
          <w:color w:val="000000" w:themeColor="text1"/>
        </w:rPr>
      </w:pPr>
      <w:r>
        <w:rPr>
          <w:rFonts w:ascii="Century Gothic" w:hAnsi="Century Gothic"/>
          <w:color w:val="000000" w:themeColor="text1"/>
        </w:rPr>
        <w:t>Organised Labour Structures</w:t>
      </w:r>
    </w:p>
    <w:p w14:paraId="68111480" w14:textId="77777777" w:rsidR="004C72E9" w:rsidRPr="00170E64" w:rsidRDefault="004C72E9" w:rsidP="004C72E9">
      <w:pPr>
        <w:pStyle w:val="ListParagraph"/>
        <w:spacing w:after="0"/>
        <w:ind w:left="2224"/>
        <w:jc w:val="both"/>
        <w:rPr>
          <w:rFonts w:ascii="Century Gothic" w:hAnsi="Century Gothic"/>
          <w:color w:val="000000" w:themeColor="text1"/>
        </w:rPr>
      </w:pPr>
    </w:p>
    <w:p w14:paraId="724C56C0" w14:textId="77777777" w:rsidR="003769AD" w:rsidRPr="00B70985" w:rsidRDefault="003769AD" w:rsidP="003769AD">
      <w:pPr>
        <w:pStyle w:val="ListParagraph"/>
        <w:numPr>
          <w:ilvl w:val="0"/>
          <w:numId w:val="6"/>
        </w:numPr>
        <w:spacing w:after="0"/>
        <w:jc w:val="both"/>
        <w:rPr>
          <w:rFonts w:ascii="Century Gothic" w:hAnsi="Century Gothic"/>
          <w:b/>
          <w:color w:val="000000" w:themeColor="text1"/>
        </w:rPr>
      </w:pPr>
      <w:proofErr w:type="spellStart"/>
      <w:r w:rsidRPr="00B70985">
        <w:rPr>
          <w:rFonts w:ascii="Century Gothic" w:hAnsi="Century Gothic"/>
          <w:b/>
          <w:color w:val="000000" w:themeColor="text1"/>
        </w:rPr>
        <w:t>Agri</w:t>
      </w:r>
      <w:proofErr w:type="spellEnd"/>
      <w:r w:rsidRPr="00B70985">
        <w:rPr>
          <w:rFonts w:ascii="Century Gothic" w:hAnsi="Century Gothic"/>
          <w:b/>
          <w:color w:val="000000" w:themeColor="text1"/>
        </w:rPr>
        <w:t>-processing</w:t>
      </w:r>
    </w:p>
    <w:p w14:paraId="75A9054C" w14:textId="77777777" w:rsidR="003769AD" w:rsidRPr="00170E64" w:rsidRDefault="003769AD" w:rsidP="003769AD">
      <w:pPr>
        <w:pStyle w:val="ListParagraph"/>
        <w:numPr>
          <w:ilvl w:val="1"/>
          <w:numId w:val="6"/>
        </w:numPr>
        <w:spacing w:after="0"/>
        <w:jc w:val="both"/>
        <w:rPr>
          <w:rFonts w:ascii="Century Gothic" w:hAnsi="Century Gothic"/>
          <w:color w:val="000000" w:themeColor="text1"/>
        </w:rPr>
      </w:pPr>
      <w:r w:rsidRPr="00170E64">
        <w:rPr>
          <w:rFonts w:ascii="Century Gothic" w:hAnsi="Century Gothic"/>
          <w:color w:val="000000" w:themeColor="text1"/>
        </w:rPr>
        <w:t>Coordination: Boland TVET College</w:t>
      </w:r>
      <w:r w:rsidR="00FB0B65">
        <w:rPr>
          <w:rFonts w:ascii="Century Gothic" w:hAnsi="Century Gothic"/>
          <w:color w:val="000000" w:themeColor="text1"/>
        </w:rPr>
        <w:t xml:space="preserve"> + Department of Agriculture</w:t>
      </w:r>
    </w:p>
    <w:p w14:paraId="703D370F" w14:textId="77777777" w:rsidR="003769AD" w:rsidRPr="00170E64" w:rsidRDefault="003769AD" w:rsidP="003769AD">
      <w:pPr>
        <w:pStyle w:val="ListParagraph"/>
        <w:numPr>
          <w:ilvl w:val="1"/>
          <w:numId w:val="6"/>
        </w:numPr>
        <w:spacing w:after="0"/>
        <w:jc w:val="both"/>
        <w:rPr>
          <w:rFonts w:ascii="Century Gothic" w:hAnsi="Century Gothic"/>
          <w:color w:val="000000" w:themeColor="text1"/>
        </w:rPr>
      </w:pPr>
      <w:r w:rsidRPr="00170E64">
        <w:rPr>
          <w:rFonts w:ascii="Century Gothic" w:hAnsi="Century Gothic"/>
          <w:color w:val="000000" w:themeColor="text1"/>
        </w:rPr>
        <w:t>Membership (that can be adjusted as required)</w:t>
      </w:r>
    </w:p>
    <w:p w14:paraId="77761D6D" w14:textId="77777777" w:rsidR="003769AD" w:rsidRPr="00FB0B65" w:rsidRDefault="00FB0B65" w:rsidP="00D55BC9">
      <w:pPr>
        <w:pStyle w:val="ListParagraph"/>
        <w:numPr>
          <w:ilvl w:val="2"/>
          <w:numId w:val="6"/>
        </w:numPr>
        <w:spacing w:after="0"/>
        <w:jc w:val="both"/>
        <w:rPr>
          <w:rFonts w:ascii="Century Gothic" w:hAnsi="Century Gothic"/>
          <w:color w:val="000000" w:themeColor="text1"/>
        </w:rPr>
      </w:pPr>
      <w:r w:rsidRPr="00FB0B65">
        <w:rPr>
          <w:rFonts w:ascii="Century Gothic" w:hAnsi="Century Gothic"/>
          <w:color w:val="000000" w:themeColor="text1"/>
        </w:rPr>
        <w:t>WCG (</w:t>
      </w:r>
      <w:r w:rsidR="003769AD" w:rsidRPr="00FB0B65">
        <w:rPr>
          <w:rFonts w:ascii="Century Gothic" w:hAnsi="Century Gothic"/>
          <w:color w:val="000000" w:themeColor="text1"/>
        </w:rPr>
        <w:t>DEDAT</w:t>
      </w:r>
      <w:r w:rsidRPr="00FB0B65">
        <w:rPr>
          <w:rFonts w:ascii="Century Gothic" w:hAnsi="Century Gothic"/>
          <w:color w:val="000000" w:themeColor="text1"/>
        </w:rPr>
        <w:t xml:space="preserve">, </w:t>
      </w:r>
      <w:r w:rsidR="003769AD" w:rsidRPr="00FB0B65">
        <w:rPr>
          <w:rFonts w:ascii="Century Gothic" w:hAnsi="Century Gothic"/>
          <w:color w:val="000000" w:themeColor="text1"/>
        </w:rPr>
        <w:t>DSU</w:t>
      </w:r>
      <w:r w:rsidR="00B70985">
        <w:rPr>
          <w:rFonts w:ascii="Century Gothic" w:hAnsi="Century Gothic"/>
          <w:color w:val="000000" w:themeColor="text1"/>
        </w:rPr>
        <w:t>)</w:t>
      </w:r>
    </w:p>
    <w:p w14:paraId="0953DCDB" w14:textId="77777777" w:rsidR="003769AD" w:rsidRPr="00170E64" w:rsidRDefault="00FB0B65" w:rsidP="003769AD">
      <w:pPr>
        <w:pStyle w:val="ListParagraph"/>
        <w:numPr>
          <w:ilvl w:val="2"/>
          <w:numId w:val="6"/>
        </w:numPr>
        <w:spacing w:after="0"/>
        <w:jc w:val="both"/>
        <w:rPr>
          <w:rFonts w:ascii="Century Gothic" w:hAnsi="Century Gothic"/>
          <w:color w:val="000000" w:themeColor="text1"/>
        </w:rPr>
      </w:pPr>
      <w:r>
        <w:rPr>
          <w:rFonts w:ascii="Century Gothic" w:hAnsi="Century Gothic"/>
          <w:color w:val="000000" w:themeColor="text1"/>
        </w:rPr>
        <w:t>Universities (CPUT, SU, NMMU, UWC)</w:t>
      </w:r>
    </w:p>
    <w:p w14:paraId="714C7394" w14:textId="77777777" w:rsidR="003769AD" w:rsidRPr="00170E64" w:rsidRDefault="003769AD" w:rsidP="003769AD">
      <w:pPr>
        <w:pStyle w:val="ListParagraph"/>
        <w:numPr>
          <w:ilvl w:val="2"/>
          <w:numId w:val="6"/>
        </w:numPr>
        <w:spacing w:after="0"/>
        <w:jc w:val="both"/>
        <w:rPr>
          <w:rFonts w:ascii="Century Gothic" w:hAnsi="Century Gothic"/>
          <w:color w:val="000000" w:themeColor="text1"/>
        </w:rPr>
      </w:pPr>
      <w:r w:rsidRPr="00170E64">
        <w:rPr>
          <w:rFonts w:ascii="Century Gothic" w:hAnsi="Century Gothic"/>
          <w:color w:val="000000" w:themeColor="text1"/>
        </w:rPr>
        <w:t>Department of Land and Rural Development</w:t>
      </w:r>
    </w:p>
    <w:p w14:paraId="1CFAF38C" w14:textId="77777777" w:rsidR="003769AD" w:rsidRDefault="003769AD" w:rsidP="003769AD">
      <w:pPr>
        <w:pStyle w:val="ListParagraph"/>
        <w:numPr>
          <w:ilvl w:val="2"/>
          <w:numId w:val="6"/>
        </w:numPr>
        <w:spacing w:after="0"/>
        <w:jc w:val="both"/>
        <w:rPr>
          <w:rFonts w:ascii="Century Gothic" w:hAnsi="Century Gothic"/>
          <w:color w:val="000000" w:themeColor="text1"/>
        </w:rPr>
      </w:pPr>
      <w:r w:rsidRPr="00170E64">
        <w:rPr>
          <w:rFonts w:ascii="Century Gothic" w:hAnsi="Century Gothic"/>
          <w:color w:val="000000" w:themeColor="text1"/>
        </w:rPr>
        <w:t>SETAs (</w:t>
      </w:r>
      <w:proofErr w:type="spellStart"/>
      <w:r w:rsidRPr="00170E64">
        <w:rPr>
          <w:rFonts w:ascii="Century Gothic" w:hAnsi="Century Gothic"/>
          <w:color w:val="000000" w:themeColor="text1"/>
        </w:rPr>
        <w:t>AgriSETA</w:t>
      </w:r>
      <w:proofErr w:type="spellEnd"/>
      <w:r w:rsidRPr="00170E64">
        <w:rPr>
          <w:rFonts w:ascii="Century Gothic" w:hAnsi="Century Gothic"/>
          <w:color w:val="000000" w:themeColor="text1"/>
        </w:rPr>
        <w:t xml:space="preserve">, </w:t>
      </w:r>
      <w:proofErr w:type="spellStart"/>
      <w:r w:rsidRPr="00170E64">
        <w:rPr>
          <w:rFonts w:ascii="Century Gothic" w:hAnsi="Century Gothic"/>
          <w:color w:val="000000" w:themeColor="text1"/>
        </w:rPr>
        <w:t>FoodBevSETA</w:t>
      </w:r>
      <w:proofErr w:type="spellEnd"/>
      <w:r w:rsidRPr="00170E64">
        <w:rPr>
          <w:rFonts w:ascii="Century Gothic" w:hAnsi="Century Gothic"/>
          <w:color w:val="000000" w:themeColor="text1"/>
        </w:rPr>
        <w:t>, FP&amp;M SETA)</w:t>
      </w:r>
    </w:p>
    <w:p w14:paraId="625E0239" w14:textId="77777777" w:rsidR="006A64A4" w:rsidRDefault="006A64A4" w:rsidP="006A64A4">
      <w:pPr>
        <w:pStyle w:val="ListParagraph"/>
        <w:numPr>
          <w:ilvl w:val="2"/>
          <w:numId w:val="6"/>
        </w:numPr>
        <w:spacing w:after="0"/>
        <w:jc w:val="both"/>
        <w:rPr>
          <w:rFonts w:ascii="Century Gothic" w:hAnsi="Century Gothic"/>
          <w:color w:val="000000" w:themeColor="text1"/>
        </w:rPr>
      </w:pPr>
      <w:r w:rsidRPr="00170E64">
        <w:rPr>
          <w:rFonts w:ascii="Century Gothic" w:hAnsi="Century Gothic"/>
          <w:color w:val="000000" w:themeColor="text1"/>
        </w:rPr>
        <w:t xml:space="preserve">Employer </w:t>
      </w:r>
      <w:r>
        <w:rPr>
          <w:rFonts w:ascii="Century Gothic" w:hAnsi="Century Gothic"/>
          <w:color w:val="000000" w:themeColor="text1"/>
        </w:rPr>
        <w:t>Structures</w:t>
      </w:r>
    </w:p>
    <w:p w14:paraId="4B881FAB" w14:textId="77777777" w:rsidR="006A64A4" w:rsidRPr="00170E64" w:rsidRDefault="006A64A4" w:rsidP="006A64A4">
      <w:pPr>
        <w:pStyle w:val="ListParagraph"/>
        <w:numPr>
          <w:ilvl w:val="2"/>
          <w:numId w:val="6"/>
        </w:numPr>
        <w:spacing w:after="0"/>
        <w:jc w:val="both"/>
        <w:rPr>
          <w:rFonts w:ascii="Century Gothic" w:hAnsi="Century Gothic"/>
          <w:color w:val="000000" w:themeColor="text1"/>
        </w:rPr>
      </w:pPr>
      <w:r>
        <w:rPr>
          <w:rFonts w:ascii="Century Gothic" w:hAnsi="Century Gothic"/>
          <w:color w:val="000000" w:themeColor="text1"/>
        </w:rPr>
        <w:lastRenderedPageBreak/>
        <w:t>Organised Labour Structures</w:t>
      </w:r>
    </w:p>
    <w:p w14:paraId="4033D097" w14:textId="77777777" w:rsidR="003769AD" w:rsidRPr="00B70985" w:rsidRDefault="003769AD" w:rsidP="003769AD">
      <w:pPr>
        <w:pStyle w:val="ListParagraph"/>
        <w:numPr>
          <w:ilvl w:val="0"/>
          <w:numId w:val="6"/>
        </w:numPr>
        <w:spacing w:after="0"/>
        <w:jc w:val="both"/>
        <w:rPr>
          <w:rFonts w:ascii="Century Gothic" w:hAnsi="Century Gothic"/>
          <w:b/>
          <w:color w:val="000000" w:themeColor="text1"/>
        </w:rPr>
      </w:pPr>
      <w:r w:rsidRPr="00B70985">
        <w:rPr>
          <w:rFonts w:ascii="Century Gothic" w:hAnsi="Century Gothic"/>
          <w:b/>
          <w:color w:val="000000" w:themeColor="text1"/>
        </w:rPr>
        <w:t>Tourism</w:t>
      </w:r>
    </w:p>
    <w:p w14:paraId="1ED61928" w14:textId="77777777" w:rsidR="003769AD" w:rsidRPr="00170E64" w:rsidRDefault="003769AD" w:rsidP="003769AD">
      <w:pPr>
        <w:pStyle w:val="ListParagraph"/>
        <w:numPr>
          <w:ilvl w:val="1"/>
          <w:numId w:val="6"/>
        </w:numPr>
        <w:spacing w:after="0"/>
        <w:jc w:val="both"/>
        <w:rPr>
          <w:rFonts w:ascii="Century Gothic" w:hAnsi="Century Gothic"/>
          <w:color w:val="000000" w:themeColor="text1"/>
        </w:rPr>
      </w:pPr>
      <w:r w:rsidRPr="00170E64">
        <w:rPr>
          <w:rFonts w:ascii="Century Gothic" w:hAnsi="Century Gothic"/>
          <w:color w:val="000000" w:themeColor="text1"/>
        </w:rPr>
        <w:t xml:space="preserve">Coordination: South Cape </w:t>
      </w:r>
      <w:r w:rsidR="007D3A99" w:rsidRPr="00170E64">
        <w:rPr>
          <w:rFonts w:ascii="Century Gothic" w:hAnsi="Century Gothic"/>
          <w:color w:val="000000" w:themeColor="text1"/>
        </w:rPr>
        <w:t xml:space="preserve">TVET </w:t>
      </w:r>
      <w:r w:rsidRPr="00170E64">
        <w:rPr>
          <w:rFonts w:ascii="Century Gothic" w:hAnsi="Century Gothic"/>
          <w:color w:val="000000" w:themeColor="text1"/>
        </w:rPr>
        <w:t>College</w:t>
      </w:r>
      <w:r w:rsidR="00B70985">
        <w:rPr>
          <w:rFonts w:ascii="Century Gothic" w:hAnsi="Century Gothic"/>
          <w:color w:val="000000" w:themeColor="text1"/>
        </w:rPr>
        <w:t xml:space="preserve"> + FEDHASA</w:t>
      </w:r>
    </w:p>
    <w:p w14:paraId="168FE761" w14:textId="77777777" w:rsidR="003769AD" w:rsidRPr="00170E64" w:rsidRDefault="003769AD" w:rsidP="003769AD">
      <w:pPr>
        <w:pStyle w:val="ListParagraph"/>
        <w:numPr>
          <w:ilvl w:val="1"/>
          <w:numId w:val="6"/>
        </w:numPr>
        <w:spacing w:after="0"/>
        <w:jc w:val="both"/>
        <w:rPr>
          <w:rFonts w:ascii="Century Gothic" w:hAnsi="Century Gothic"/>
          <w:color w:val="000000" w:themeColor="text1"/>
        </w:rPr>
      </w:pPr>
      <w:r w:rsidRPr="00170E64">
        <w:rPr>
          <w:rFonts w:ascii="Century Gothic" w:hAnsi="Century Gothic"/>
          <w:color w:val="000000" w:themeColor="text1"/>
        </w:rPr>
        <w:t>Membership (that can be adjusted as required)</w:t>
      </w:r>
    </w:p>
    <w:p w14:paraId="29AC3188" w14:textId="77777777" w:rsidR="003769AD" w:rsidRPr="00170E64" w:rsidRDefault="00B70985" w:rsidP="003769AD">
      <w:pPr>
        <w:pStyle w:val="ListParagraph"/>
        <w:numPr>
          <w:ilvl w:val="2"/>
          <w:numId w:val="6"/>
        </w:numPr>
        <w:spacing w:after="0"/>
        <w:jc w:val="both"/>
        <w:rPr>
          <w:rFonts w:ascii="Century Gothic" w:hAnsi="Century Gothic"/>
          <w:color w:val="000000" w:themeColor="text1"/>
        </w:rPr>
      </w:pPr>
      <w:r>
        <w:rPr>
          <w:rFonts w:ascii="Century Gothic" w:hAnsi="Century Gothic"/>
          <w:color w:val="000000" w:themeColor="text1"/>
        </w:rPr>
        <w:t>WCG (</w:t>
      </w:r>
      <w:r w:rsidR="003769AD" w:rsidRPr="00170E64">
        <w:rPr>
          <w:rFonts w:ascii="Century Gothic" w:hAnsi="Century Gothic"/>
          <w:color w:val="000000" w:themeColor="text1"/>
        </w:rPr>
        <w:t>DEDAT</w:t>
      </w:r>
      <w:r>
        <w:rPr>
          <w:rFonts w:ascii="Century Gothic" w:hAnsi="Century Gothic"/>
          <w:color w:val="000000" w:themeColor="text1"/>
        </w:rPr>
        <w:t>, DSU)</w:t>
      </w:r>
    </w:p>
    <w:p w14:paraId="4DF4F836" w14:textId="77777777" w:rsidR="003769AD" w:rsidRPr="00B70985" w:rsidRDefault="00B70985" w:rsidP="00A54C02">
      <w:pPr>
        <w:pStyle w:val="ListParagraph"/>
        <w:numPr>
          <w:ilvl w:val="2"/>
          <w:numId w:val="6"/>
        </w:numPr>
        <w:spacing w:after="0"/>
        <w:jc w:val="both"/>
        <w:rPr>
          <w:rFonts w:ascii="Century Gothic" w:hAnsi="Century Gothic"/>
          <w:color w:val="000000" w:themeColor="text1"/>
        </w:rPr>
      </w:pPr>
      <w:r w:rsidRPr="00B70985">
        <w:rPr>
          <w:rFonts w:ascii="Century Gothic" w:hAnsi="Century Gothic"/>
          <w:color w:val="000000" w:themeColor="text1"/>
        </w:rPr>
        <w:t>Universities (CPUT)</w:t>
      </w:r>
    </w:p>
    <w:p w14:paraId="49E3063C" w14:textId="77777777" w:rsidR="003769AD" w:rsidRDefault="003769AD" w:rsidP="003769AD">
      <w:pPr>
        <w:pStyle w:val="ListParagraph"/>
        <w:numPr>
          <w:ilvl w:val="2"/>
          <w:numId w:val="6"/>
        </w:numPr>
        <w:spacing w:after="0"/>
        <w:jc w:val="both"/>
        <w:rPr>
          <w:rFonts w:ascii="Century Gothic" w:hAnsi="Century Gothic"/>
          <w:color w:val="000000" w:themeColor="text1"/>
        </w:rPr>
      </w:pPr>
      <w:r w:rsidRPr="00170E64">
        <w:rPr>
          <w:rFonts w:ascii="Century Gothic" w:hAnsi="Century Gothic"/>
          <w:color w:val="000000" w:themeColor="text1"/>
        </w:rPr>
        <w:t>SETAs (CATHSSETA, Services SETA, SAS</w:t>
      </w:r>
      <w:r w:rsidR="00E52414">
        <w:rPr>
          <w:rFonts w:ascii="Century Gothic" w:hAnsi="Century Gothic"/>
          <w:color w:val="000000" w:themeColor="text1"/>
        </w:rPr>
        <w:t>S</w:t>
      </w:r>
      <w:r w:rsidRPr="00170E64">
        <w:rPr>
          <w:rFonts w:ascii="Century Gothic" w:hAnsi="Century Gothic"/>
          <w:color w:val="000000" w:themeColor="text1"/>
        </w:rPr>
        <w:t>ETA, HWSETA)</w:t>
      </w:r>
    </w:p>
    <w:p w14:paraId="257304BD" w14:textId="77777777" w:rsidR="00B70985" w:rsidRDefault="00B70985" w:rsidP="00B70985">
      <w:pPr>
        <w:pStyle w:val="ListParagraph"/>
        <w:numPr>
          <w:ilvl w:val="2"/>
          <w:numId w:val="6"/>
        </w:numPr>
        <w:spacing w:after="0"/>
        <w:jc w:val="both"/>
        <w:rPr>
          <w:rFonts w:ascii="Century Gothic" w:hAnsi="Century Gothic"/>
          <w:color w:val="000000" w:themeColor="text1"/>
        </w:rPr>
      </w:pPr>
      <w:r w:rsidRPr="00170E64">
        <w:rPr>
          <w:rFonts w:ascii="Century Gothic" w:hAnsi="Century Gothic"/>
          <w:color w:val="000000" w:themeColor="text1"/>
        </w:rPr>
        <w:t xml:space="preserve">Employer </w:t>
      </w:r>
      <w:r>
        <w:rPr>
          <w:rFonts w:ascii="Century Gothic" w:hAnsi="Century Gothic"/>
          <w:color w:val="000000" w:themeColor="text1"/>
        </w:rPr>
        <w:t>Structures</w:t>
      </w:r>
    </w:p>
    <w:p w14:paraId="48899170" w14:textId="77777777" w:rsidR="00B70985" w:rsidRPr="00170E64" w:rsidRDefault="00B70985" w:rsidP="00B70985">
      <w:pPr>
        <w:pStyle w:val="ListParagraph"/>
        <w:numPr>
          <w:ilvl w:val="2"/>
          <w:numId w:val="6"/>
        </w:numPr>
        <w:spacing w:after="0"/>
        <w:jc w:val="both"/>
        <w:rPr>
          <w:rFonts w:ascii="Century Gothic" w:hAnsi="Century Gothic"/>
          <w:color w:val="000000" w:themeColor="text1"/>
        </w:rPr>
      </w:pPr>
      <w:r>
        <w:rPr>
          <w:rFonts w:ascii="Century Gothic" w:hAnsi="Century Gothic"/>
          <w:color w:val="000000" w:themeColor="text1"/>
        </w:rPr>
        <w:t>Organised Labour Structures</w:t>
      </w:r>
    </w:p>
    <w:p w14:paraId="609D5A2A" w14:textId="3D7F4D66" w:rsidR="003769AD" w:rsidRPr="00B70985" w:rsidRDefault="003769AD" w:rsidP="003769AD">
      <w:pPr>
        <w:pStyle w:val="ListParagraph"/>
        <w:numPr>
          <w:ilvl w:val="0"/>
          <w:numId w:val="7"/>
        </w:numPr>
        <w:spacing w:after="0"/>
        <w:jc w:val="both"/>
        <w:rPr>
          <w:rFonts w:ascii="Century Gothic" w:hAnsi="Century Gothic"/>
          <w:b/>
          <w:color w:val="000000" w:themeColor="text1"/>
        </w:rPr>
      </w:pPr>
      <w:r w:rsidRPr="00B70985">
        <w:rPr>
          <w:rFonts w:ascii="Century Gothic" w:hAnsi="Century Gothic"/>
          <w:b/>
          <w:color w:val="000000" w:themeColor="text1"/>
        </w:rPr>
        <w:t>Energy</w:t>
      </w:r>
      <w:r w:rsidR="000D7768">
        <w:rPr>
          <w:rFonts w:ascii="Century Gothic" w:hAnsi="Century Gothic"/>
          <w:b/>
          <w:color w:val="000000" w:themeColor="text1"/>
        </w:rPr>
        <w:t xml:space="preserve"> and Water</w:t>
      </w:r>
    </w:p>
    <w:p w14:paraId="0F98ED5B" w14:textId="77777777" w:rsidR="003769AD" w:rsidRPr="00170E64" w:rsidRDefault="003769AD" w:rsidP="003769AD">
      <w:pPr>
        <w:pStyle w:val="ListParagraph"/>
        <w:numPr>
          <w:ilvl w:val="1"/>
          <w:numId w:val="7"/>
        </w:numPr>
        <w:spacing w:after="0"/>
        <w:jc w:val="both"/>
        <w:rPr>
          <w:rFonts w:ascii="Century Gothic" w:hAnsi="Century Gothic"/>
          <w:color w:val="000000" w:themeColor="text1"/>
        </w:rPr>
      </w:pPr>
      <w:r w:rsidRPr="00170E64">
        <w:rPr>
          <w:rFonts w:ascii="Century Gothic" w:hAnsi="Century Gothic"/>
          <w:color w:val="000000" w:themeColor="text1"/>
        </w:rPr>
        <w:t xml:space="preserve">Coordination: </w:t>
      </w:r>
      <w:r w:rsidR="007D3A99" w:rsidRPr="00170E64">
        <w:rPr>
          <w:rFonts w:ascii="Century Gothic" w:hAnsi="Century Gothic"/>
          <w:color w:val="000000" w:themeColor="text1"/>
        </w:rPr>
        <w:t xml:space="preserve">False Bay TVET College </w:t>
      </w:r>
      <w:r w:rsidR="0068572A">
        <w:rPr>
          <w:rFonts w:ascii="Century Gothic" w:hAnsi="Century Gothic"/>
          <w:color w:val="000000" w:themeColor="text1"/>
        </w:rPr>
        <w:t>+ Green Cape</w:t>
      </w:r>
    </w:p>
    <w:p w14:paraId="78D66557" w14:textId="77777777" w:rsidR="003769AD" w:rsidRPr="00170E64" w:rsidRDefault="003769AD" w:rsidP="003769AD">
      <w:pPr>
        <w:pStyle w:val="ListParagraph"/>
        <w:numPr>
          <w:ilvl w:val="1"/>
          <w:numId w:val="7"/>
        </w:numPr>
        <w:spacing w:after="0"/>
        <w:jc w:val="both"/>
        <w:rPr>
          <w:rFonts w:ascii="Century Gothic" w:hAnsi="Century Gothic"/>
          <w:color w:val="000000" w:themeColor="text1"/>
        </w:rPr>
      </w:pPr>
      <w:r w:rsidRPr="00170E64">
        <w:rPr>
          <w:rFonts w:ascii="Century Gothic" w:hAnsi="Century Gothic"/>
          <w:color w:val="000000" w:themeColor="text1"/>
        </w:rPr>
        <w:t>Membership (that can be adjusted as required)</w:t>
      </w:r>
    </w:p>
    <w:p w14:paraId="53FABE07" w14:textId="77777777" w:rsidR="003769AD" w:rsidRPr="0068572A" w:rsidRDefault="0068572A" w:rsidP="00763F86">
      <w:pPr>
        <w:pStyle w:val="ListParagraph"/>
        <w:numPr>
          <w:ilvl w:val="2"/>
          <w:numId w:val="7"/>
        </w:numPr>
        <w:spacing w:after="0"/>
        <w:jc w:val="both"/>
        <w:rPr>
          <w:rFonts w:ascii="Century Gothic" w:hAnsi="Century Gothic"/>
          <w:color w:val="000000" w:themeColor="text1"/>
        </w:rPr>
      </w:pPr>
      <w:r w:rsidRPr="0068572A">
        <w:rPr>
          <w:rFonts w:ascii="Century Gothic" w:hAnsi="Century Gothic"/>
          <w:color w:val="000000" w:themeColor="text1"/>
        </w:rPr>
        <w:t>WCG (</w:t>
      </w:r>
      <w:r w:rsidR="003769AD" w:rsidRPr="0068572A">
        <w:rPr>
          <w:rFonts w:ascii="Century Gothic" w:hAnsi="Century Gothic"/>
          <w:color w:val="000000" w:themeColor="text1"/>
        </w:rPr>
        <w:t>DEDAT</w:t>
      </w:r>
      <w:r w:rsidRPr="0068572A">
        <w:rPr>
          <w:rFonts w:ascii="Century Gothic" w:hAnsi="Century Gothic"/>
          <w:color w:val="000000" w:themeColor="text1"/>
        </w:rPr>
        <w:t xml:space="preserve">, </w:t>
      </w:r>
      <w:r w:rsidR="003769AD" w:rsidRPr="0068572A">
        <w:rPr>
          <w:rFonts w:ascii="Century Gothic" w:hAnsi="Century Gothic"/>
          <w:color w:val="000000" w:themeColor="text1"/>
        </w:rPr>
        <w:t>DSU</w:t>
      </w:r>
      <w:r>
        <w:rPr>
          <w:rFonts w:ascii="Century Gothic" w:hAnsi="Century Gothic"/>
          <w:color w:val="000000" w:themeColor="text1"/>
        </w:rPr>
        <w:t>)</w:t>
      </w:r>
    </w:p>
    <w:p w14:paraId="55590375" w14:textId="77777777" w:rsidR="003769AD" w:rsidRPr="0068572A" w:rsidRDefault="0068572A" w:rsidP="000B0217">
      <w:pPr>
        <w:pStyle w:val="ListParagraph"/>
        <w:numPr>
          <w:ilvl w:val="2"/>
          <w:numId w:val="7"/>
        </w:numPr>
        <w:spacing w:after="0"/>
        <w:jc w:val="both"/>
        <w:rPr>
          <w:rFonts w:ascii="Century Gothic" w:hAnsi="Century Gothic"/>
          <w:color w:val="000000" w:themeColor="text1"/>
        </w:rPr>
      </w:pPr>
      <w:r w:rsidRPr="0068572A">
        <w:rPr>
          <w:rFonts w:ascii="Century Gothic" w:hAnsi="Century Gothic"/>
          <w:color w:val="000000" w:themeColor="text1"/>
        </w:rPr>
        <w:t xml:space="preserve">Universities (CPUT) </w:t>
      </w:r>
    </w:p>
    <w:p w14:paraId="52E69571" w14:textId="77777777" w:rsidR="003769AD" w:rsidRPr="00170E64" w:rsidRDefault="003769AD" w:rsidP="003769AD">
      <w:pPr>
        <w:pStyle w:val="ListParagraph"/>
        <w:numPr>
          <w:ilvl w:val="2"/>
          <w:numId w:val="7"/>
        </w:numPr>
        <w:spacing w:after="0"/>
        <w:jc w:val="both"/>
        <w:rPr>
          <w:rFonts w:ascii="Century Gothic" w:hAnsi="Century Gothic"/>
          <w:color w:val="000000" w:themeColor="text1"/>
        </w:rPr>
      </w:pPr>
      <w:r w:rsidRPr="00170E64">
        <w:rPr>
          <w:rFonts w:ascii="Century Gothic" w:hAnsi="Century Gothic"/>
          <w:color w:val="000000" w:themeColor="text1"/>
        </w:rPr>
        <w:t>SETAs (EWSETA, CETA,</w:t>
      </w:r>
      <w:r w:rsidR="001055AC" w:rsidRPr="00170E64">
        <w:rPr>
          <w:rFonts w:ascii="Century Gothic" w:hAnsi="Century Gothic"/>
          <w:color w:val="000000" w:themeColor="text1"/>
        </w:rPr>
        <w:t xml:space="preserve"> </w:t>
      </w:r>
      <w:r w:rsidRPr="00170E64">
        <w:rPr>
          <w:rFonts w:ascii="Century Gothic" w:hAnsi="Century Gothic"/>
          <w:color w:val="000000" w:themeColor="text1"/>
        </w:rPr>
        <w:t>LGSETA,</w:t>
      </w:r>
      <w:r w:rsidR="001055AC" w:rsidRPr="00170E64">
        <w:rPr>
          <w:rFonts w:ascii="Century Gothic" w:hAnsi="Century Gothic"/>
          <w:color w:val="000000" w:themeColor="text1"/>
        </w:rPr>
        <w:t xml:space="preserve"> </w:t>
      </w:r>
      <w:r w:rsidRPr="00170E64">
        <w:rPr>
          <w:rFonts w:ascii="Century Gothic" w:hAnsi="Century Gothic"/>
          <w:color w:val="000000" w:themeColor="text1"/>
        </w:rPr>
        <w:t>MQA)</w:t>
      </w:r>
    </w:p>
    <w:p w14:paraId="72FFE624" w14:textId="77777777" w:rsidR="0068572A" w:rsidRDefault="0068572A" w:rsidP="0068572A">
      <w:pPr>
        <w:pStyle w:val="ListParagraph"/>
        <w:numPr>
          <w:ilvl w:val="2"/>
          <w:numId w:val="7"/>
        </w:numPr>
        <w:spacing w:after="0"/>
        <w:jc w:val="both"/>
        <w:rPr>
          <w:rFonts w:ascii="Century Gothic" w:hAnsi="Century Gothic"/>
          <w:color w:val="000000" w:themeColor="text1"/>
        </w:rPr>
      </w:pPr>
      <w:r w:rsidRPr="00170E64">
        <w:rPr>
          <w:rFonts w:ascii="Century Gothic" w:hAnsi="Century Gothic"/>
          <w:color w:val="000000" w:themeColor="text1"/>
        </w:rPr>
        <w:t xml:space="preserve">Employer </w:t>
      </w:r>
      <w:r>
        <w:rPr>
          <w:rFonts w:ascii="Century Gothic" w:hAnsi="Century Gothic"/>
          <w:color w:val="000000" w:themeColor="text1"/>
        </w:rPr>
        <w:t>Structures</w:t>
      </w:r>
    </w:p>
    <w:p w14:paraId="5E2CE7F7" w14:textId="77777777" w:rsidR="0068572A" w:rsidRDefault="0068572A" w:rsidP="0068572A">
      <w:pPr>
        <w:pStyle w:val="ListParagraph"/>
        <w:numPr>
          <w:ilvl w:val="2"/>
          <w:numId w:val="7"/>
        </w:numPr>
        <w:spacing w:after="0"/>
        <w:jc w:val="both"/>
        <w:rPr>
          <w:rFonts w:ascii="Century Gothic" w:hAnsi="Century Gothic"/>
          <w:color w:val="000000" w:themeColor="text1"/>
        </w:rPr>
      </w:pPr>
      <w:r>
        <w:rPr>
          <w:rFonts w:ascii="Century Gothic" w:hAnsi="Century Gothic"/>
          <w:color w:val="000000" w:themeColor="text1"/>
        </w:rPr>
        <w:t>Organised Labour Structures</w:t>
      </w:r>
    </w:p>
    <w:p w14:paraId="7BCBD65A" w14:textId="77777777" w:rsidR="004C72E9" w:rsidRPr="00170E64" w:rsidRDefault="004C72E9" w:rsidP="004C72E9">
      <w:pPr>
        <w:pStyle w:val="ListParagraph"/>
        <w:spacing w:after="0"/>
        <w:ind w:left="2224"/>
        <w:jc w:val="both"/>
        <w:rPr>
          <w:rFonts w:ascii="Century Gothic" w:hAnsi="Century Gothic"/>
          <w:color w:val="000000" w:themeColor="text1"/>
        </w:rPr>
      </w:pPr>
    </w:p>
    <w:p w14:paraId="55EB42EA" w14:textId="77777777" w:rsidR="003769AD" w:rsidRPr="0068572A" w:rsidRDefault="003769AD" w:rsidP="003769AD">
      <w:pPr>
        <w:pStyle w:val="ListParagraph"/>
        <w:numPr>
          <w:ilvl w:val="0"/>
          <w:numId w:val="7"/>
        </w:numPr>
        <w:spacing w:after="0"/>
        <w:jc w:val="both"/>
        <w:rPr>
          <w:rFonts w:ascii="Century Gothic" w:hAnsi="Century Gothic"/>
          <w:b/>
          <w:bCs/>
          <w:color w:val="000000" w:themeColor="text1"/>
        </w:rPr>
      </w:pPr>
      <w:r w:rsidRPr="0068572A">
        <w:rPr>
          <w:rFonts w:ascii="Century Gothic" w:hAnsi="Century Gothic"/>
          <w:b/>
          <w:color w:val="000000" w:themeColor="text1"/>
        </w:rPr>
        <w:t>Information Communication Technology (including Broadband)</w:t>
      </w:r>
    </w:p>
    <w:p w14:paraId="3D72ED8A" w14:textId="77777777" w:rsidR="003769AD" w:rsidRPr="00170E64" w:rsidRDefault="003769AD" w:rsidP="003769AD">
      <w:pPr>
        <w:pStyle w:val="ListParagraph"/>
        <w:numPr>
          <w:ilvl w:val="1"/>
          <w:numId w:val="7"/>
        </w:numPr>
        <w:spacing w:after="0"/>
        <w:jc w:val="both"/>
        <w:rPr>
          <w:rFonts w:ascii="Century Gothic" w:hAnsi="Century Gothic"/>
          <w:color w:val="000000" w:themeColor="text1"/>
        </w:rPr>
      </w:pPr>
      <w:r w:rsidRPr="00170E64">
        <w:rPr>
          <w:rFonts w:ascii="Century Gothic" w:hAnsi="Century Gothic"/>
          <w:color w:val="000000" w:themeColor="text1"/>
        </w:rPr>
        <w:t>Coordination: College of Cape Town</w:t>
      </w:r>
      <w:r w:rsidR="0068572A">
        <w:rPr>
          <w:rFonts w:ascii="Century Gothic" w:hAnsi="Century Gothic"/>
          <w:color w:val="000000" w:themeColor="text1"/>
        </w:rPr>
        <w:t xml:space="preserve"> + CITI</w:t>
      </w:r>
      <w:r w:rsidRPr="00170E64">
        <w:rPr>
          <w:rFonts w:ascii="Century Gothic" w:hAnsi="Century Gothic"/>
          <w:color w:val="000000" w:themeColor="text1"/>
        </w:rPr>
        <w:t xml:space="preserve"> </w:t>
      </w:r>
    </w:p>
    <w:p w14:paraId="7D0F9B80" w14:textId="77777777" w:rsidR="003769AD" w:rsidRPr="00170E64" w:rsidRDefault="003769AD" w:rsidP="003769AD">
      <w:pPr>
        <w:pStyle w:val="ListParagraph"/>
        <w:numPr>
          <w:ilvl w:val="1"/>
          <w:numId w:val="7"/>
        </w:numPr>
        <w:spacing w:after="0"/>
        <w:jc w:val="both"/>
        <w:rPr>
          <w:rFonts w:ascii="Century Gothic" w:hAnsi="Century Gothic"/>
          <w:color w:val="000000" w:themeColor="text1"/>
        </w:rPr>
      </w:pPr>
      <w:r w:rsidRPr="00170E64">
        <w:rPr>
          <w:rFonts w:ascii="Century Gothic" w:hAnsi="Century Gothic"/>
          <w:color w:val="000000" w:themeColor="text1"/>
        </w:rPr>
        <w:t>Membership (that can be adjusted as required)</w:t>
      </w:r>
    </w:p>
    <w:p w14:paraId="5ACD6B91" w14:textId="77777777" w:rsidR="003769AD" w:rsidRPr="0068572A" w:rsidRDefault="0068572A" w:rsidP="00962C6B">
      <w:pPr>
        <w:pStyle w:val="ListParagraph"/>
        <w:numPr>
          <w:ilvl w:val="2"/>
          <w:numId w:val="7"/>
        </w:numPr>
        <w:spacing w:after="0"/>
        <w:jc w:val="both"/>
        <w:rPr>
          <w:rFonts w:ascii="Century Gothic" w:hAnsi="Century Gothic"/>
          <w:color w:val="000000" w:themeColor="text1"/>
        </w:rPr>
      </w:pPr>
      <w:r w:rsidRPr="0068572A">
        <w:rPr>
          <w:rFonts w:ascii="Century Gothic" w:hAnsi="Century Gothic"/>
          <w:color w:val="000000" w:themeColor="text1"/>
        </w:rPr>
        <w:t>WCG (</w:t>
      </w:r>
      <w:r w:rsidR="003769AD" w:rsidRPr="0068572A">
        <w:rPr>
          <w:rFonts w:ascii="Century Gothic" w:hAnsi="Century Gothic"/>
          <w:color w:val="000000" w:themeColor="text1"/>
        </w:rPr>
        <w:t>DEDAT</w:t>
      </w:r>
      <w:r w:rsidRPr="0068572A">
        <w:rPr>
          <w:rFonts w:ascii="Century Gothic" w:hAnsi="Century Gothic"/>
          <w:color w:val="000000" w:themeColor="text1"/>
        </w:rPr>
        <w:t xml:space="preserve">, </w:t>
      </w:r>
      <w:r w:rsidR="003769AD" w:rsidRPr="0068572A">
        <w:rPr>
          <w:rFonts w:ascii="Century Gothic" w:hAnsi="Century Gothic"/>
          <w:color w:val="000000" w:themeColor="text1"/>
        </w:rPr>
        <w:t>DSU</w:t>
      </w:r>
      <w:r>
        <w:rPr>
          <w:rFonts w:ascii="Century Gothic" w:hAnsi="Century Gothic"/>
          <w:color w:val="000000" w:themeColor="text1"/>
        </w:rPr>
        <w:t>)</w:t>
      </w:r>
    </w:p>
    <w:p w14:paraId="15A49370" w14:textId="77777777" w:rsidR="003769AD" w:rsidRPr="00170E64" w:rsidRDefault="0068572A" w:rsidP="003769AD">
      <w:pPr>
        <w:pStyle w:val="ListParagraph"/>
        <w:numPr>
          <w:ilvl w:val="2"/>
          <w:numId w:val="7"/>
        </w:numPr>
        <w:spacing w:after="0"/>
        <w:jc w:val="both"/>
        <w:rPr>
          <w:rFonts w:ascii="Century Gothic" w:hAnsi="Century Gothic"/>
          <w:color w:val="000000" w:themeColor="text1"/>
        </w:rPr>
      </w:pPr>
      <w:r>
        <w:rPr>
          <w:rFonts w:ascii="Century Gothic" w:hAnsi="Century Gothic"/>
          <w:color w:val="000000" w:themeColor="text1"/>
        </w:rPr>
        <w:t>Universities (CPUT, UCT)</w:t>
      </w:r>
      <w:r w:rsidR="001055AC" w:rsidRPr="00170E64">
        <w:rPr>
          <w:rFonts w:ascii="Century Gothic" w:hAnsi="Century Gothic"/>
          <w:color w:val="000000" w:themeColor="text1"/>
        </w:rPr>
        <w:t xml:space="preserve"> </w:t>
      </w:r>
    </w:p>
    <w:p w14:paraId="65B8E988" w14:textId="77777777" w:rsidR="003769AD" w:rsidRDefault="003769AD" w:rsidP="003769AD">
      <w:pPr>
        <w:pStyle w:val="ListParagraph"/>
        <w:numPr>
          <w:ilvl w:val="2"/>
          <w:numId w:val="7"/>
        </w:numPr>
        <w:spacing w:after="0"/>
        <w:jc w:val="both"/>
        <w:rPr>
          <w:rFonts w:ascii="Century Gothic" w:hAnsi="Century Gothic"/>
          <w:color w:val="000000" w:themeColor="text1"/>
        </w:rPr>
      </w:pPr>
      <w:r w:rsidRPr="00170E64">
        <w:rPr>
          <w:rFonts w:ascii="Century Gothic" w:hAnsi="Century Gothic"/>
          <w:color w:val="000000" w:themeColor="text1"/>
        </w:rPr>
        <w:t>SETAs (MICTSETA BANKSETA, FASSET,</w:t>
      </w:r>
      <w:r w:rsidR="007D3A99" w:rsidRPr="00170E64">
        <w:rPr>
          <w:rFonts w:ascii="Century Gothic" w:hAnsi="Century Gothic"/>
          <w:color w:val="000000" w:themeColor="text1"/>
        </w:rPr>
        <w:t xml:space="preserve"> </w:t>
      </w:r>
      <w:r w:rsidRPr="00170E64">
        <w:rPr>
          <w:rFonts w:ascii="Century Gothic" w:hAnsi="Century Gothic"/>
          <w:color w:val="000000" w:themeColor="text1"/>
        </w:rPr>
        <w:t>INSETA,</w:t>
      </w:r>
      <w:r w:rsidR="0068572A">
        <w:rPr>
          <w:rFonts w:ascii="Century Gothic" w:hAnsi="Century Gothic"/>
          <w:color w:val="000000" w:themeColor="text1"/>
        </w:rPr>
        <w:t xml:space="preserve"> </w:t>
      </w:r>
      <w:r w:rsidRPr="00170E64">
        <w:rPr>
          <w:rFonts w:ascii="Century Gothic" w:hAnsi="Century Gothic"/>
          <w:color w:val="000000" w:themeColor="text1"/>
        </w:rPr>
        <w:t>W&amp;RSETA</w:t>
      </w:r>
      <w:r w:rsidR="007D3A99" w:rsidRPr="00170E64">
        <w:rPr>
          <w:rFonts w:ascii="Century Gothic" w:hAnsi="Century Gothic"/>
          <w:color w:val="000000" w:themeColor="text1"/>
        </w:rPr>
        <w:t>, PSETA, ETDPSETA</w:t>
      </w:r>
      <w:r w:rsidRPr="00170E64">
        <w:rPr>
          <w:rFonts w:ascii="Century Gothic" w:hAnsi="Century Gothic"/>
          <w:color w:val="000000" w:themeColor="text1"/>
        </w:rPr>
        <w:t>)</w:t>
      </w:r>
    </w:p>
    <w:p w14:paraId="01E3E8F1" w14:textId="77777777" w:rsidR="0068572A" w:rsidRDefault="0068572A" w:rsidP="0068572A">
      <w:pPr>
        <w:pStyle w:val="ListParagraph"/>
        <w:numPr>
          <w:ilvl w:val="2"/>
          <w:numId w:val="7"/>
        </w:numPr>
        <w:spacing w:after="0"/>
        <w:jc w:val="both"/>
        <w:rPr>
          <w:rFonts w:ascii="Century Gothic" w:hAnsi="Century Gothic"/>
          <w:color w:val="000000" w:themeColor="text1"/>
        </w:rPr>
      </w:pPr>
      <w:r w:rsidRPr="00170E64">
        <w:rPr>
          <w:rFonts w:ascii="Century Gothic" w:hAnsi="Century Gothic"/>
          <w:color w:val="000000" w:themeColor="text1"/>
        </w:rPr>
        <w:t xml:space="preserve">Employer </w:t>
      </w:r>
      <w:r>
        <w:rPr>
          <w:rFonts w:ascii="Century Gothic" w:hAnsi="Century Gothic"/>
          <w:color w:val="000000" w:themeColor="text1"/>
        </w:rPr>
        <w:t>Structures</w:t>
      </w:r>
    </w:p>
    <w:p w14:paraId="1F6C138F" w14:textId="77777777" w:rsidR="0068572A" w:rsidRPr="00170E64" w:rsidRDefault="0068572A" w:rsidP="0068572A">
      <w:pPr>
        <w:pStyle w:val="ListParagraph"/>
        <w:numPr>
          <w:ilvl w:val="2"/>
          <w:numId w:val="7"/>
        </w:numPr>
        <w:spacing w:after="0"/>
        <w:jc w:val="both"/>
        <w:rPr>
          <w:rFonts w:ascii="Century Gothic" w:hAnsi="Century Gothic"/>
          <w:color w:val="000000" w:themeColor="text1"/>
        </w:rPr>
      </w:pPr>
      <w:r>
        <w:rPr>
          <w:rFonts w:ascii="Century Gothic" w:hAnsi="Century Gothic"/>
          <w:color w:val="000000" w:themeColor="text1"/>
        </w:rPr>
        <w:t>Organised Labour Structures</w:t>
      </w:r>
    </w:p>
    <w:p w14:paraId="10371CA9" w14:textId="77777777" w:rsidR="0068572A" w:rsidRDefault="0068572A" w:rsidP="0068572A">
      <w:pPr>
        <w:pStyle w:val="ListParagraph"/>
        <w:spacing w:after="0"/>
        <w:ind w:left="2224"/>
        <w:jc w:val="both"/>
        <w:rPr>
          <w:rFonts w:ascii="Century Gothic" w:hAnsi="Century Gothic"/>
          <w:color w:val="000000" w:themeColor="text1"/>
        </w:rPr>
      </w:pPr>
    </w:p>
    <w:p w14:paraId="2D53435B" w14:textId="77777777" w:rsidR="0068572A" w:rsidRPr="00170E64" w:rsidRDefault="0068572A" w:rsidP="0068572A">
      <w:pPr>
        <w:pStyle w:val="ListParagraph"/>
        <w:spacing w:after="0"/>
        <w:ind w:left="2224"/>
        <w:jc w:val="both"/>
        <w:rPr>
          <w:rFonts w:ascii="Century Gothic" w:hAnsi="Century Gothic"/>
          <w:color w:val="000000" w:themeColor="text1"/>
        </w:rPr>
      </w:pPr>
    </w:p>
    <w:p w14:paraId="6E4BCA3B" w14:textId="77777777" w:rsidR="00187C9D" w:rsidRPr="00170E64" w:rsidRDefault="00187C9D" w:rsidP="00187C9D">
      <w:pPr>
        <w:pStyle w:val="ListParagraph"/>
        <w:numPr>
          <w:ilvl w:val="0"/>
          <w:numId w:val="9"/>
        </w:numPr>
        <w:spacing w:after="0" w:line="240" w:lineRule="auto"/>
        <w:jc w:val="both"/>
        <w:rPr>
          <w:rFonts w:ascii="Century Gothic" w:hAnsi="Century Gothic"/>
          <w:bCs/>
          <w:color w:val="000000" w:themeColor="text1"/>
        </w:rPr>
      </w:pPr>
      <w:r w:rsidRPr="00170E64">
        <w:rPr>
          <w:rFonts w:ascii="Century Gothic" w:hAnsi="Century Gothic"/>
          <w:b/>
          <w:bCs/>
          <w:color w:val="000000" w:themeColor="text1"/>
        </w:rPr>
        <w:t>Cross Cutting TAF for Assessment, RPL and Mentor Development</w:t>
      </w:r>
    </w:p>
    <w:p w14:paraId="6C9A20E8" w14:textId="77777777" w:rsidR="00187C9D" w:rsidRPr="00170E64" w:rsidRDefault="00187C9D" w:rsidP="00187C9D">
      <w:pPr>
        <w:jc w:val="both"/>
        <w:rPr>
          <w:rFonts w:ascii="Century Gothic" w:hAnsi="Century Gothic"/>
          <w:bCs/>
          <w:color w:val="000000" w:themeColor="text1"/>
        </w:rPr>
      </w:pPr>
    </w:p>
    <w:p w14:paraId="6FED5EA3" w14:textId="77777777" w:rsidR="00187C9D" w:rsidRPr="00170E64" w:rsidRDefault="00187C9D" w:rsidP="00FA2558">
      <w:pPr>
        <w:spacing w:after="0" w:line="240" w:lineRule="auto"/>
        <w:jc w:val="both"/>
        <w:rPr>
          <w:rFonts w:ascii="Century Gothic" w:hAnsi="Century Gothic"/>
          <w:bCs/>
          <w:color w:val="000000" w:themeColor="text1"/>
        </w:rPr>
      </w:pPr>
      <w:r w:rsidRPr="00170E64">
        <w:rPr>
          <w:rFonts w:ascii="Century Gothic" w:hAnsi="Century Gothic"/>
          <w:bCs/>
          <w:color w:val="000000" w:themeColor="text1"/>
        </w:rPr>
        <w:t>In addition to the five priority sector based TAFs there is also a need for an Assessment, RPL and Mentor Development TAF that supports and works across all of the five priority sectors</w:t>
      </w:r>
      <w:r w:rsidR="00FA2558" w:rsidRPr="00170E64">
        <w:rPr>
          <w:rFonts w:ascii="Century Gothic" w:hAnsi="Century Gothic"/>
          <w:bCs/>
          <w:color w:val="000000" w:themeColor="text1"/>
        </w:rPr>
        <w:t>. T</w:t>
      </w:r>
      <w:r w:rsidRPr="00170E64">
        <w:rPr>
          <w:rFonts w:ascii="Century Gothic" w:hAnsi="Century Gothic"/>
          <w:bCs/>
          <w:color w:val="000000" w:themeColor="text1"/>
        </w:rPr>
        <w:t xml:space="preserve">he generic outputs for </w:t>
      </w:r>
      <w:r w:rsidR="00FA2558" w:rsidRPr="00170E64">
        <w:rPr>
          <w:rFonts w:ascii="Century Gothic" w:hAnsi="Century Gothic"/>
          <w:bCs/>
          <w:color w:val="000000" w:themeColor="text1"/>
        </w:rPr>
        <w:t xml:space="preserve">this cross cutting </w:t>
      </w:r>
      <w:r w:rsidRPr="00170E64">
        <w:rPr>
          <w:rFonts w:ascii="Century Gothic" w:hAnsi="Century Gothic"/>
          <w:bCs/>
          <w:color w:val="000000" w:themeColor="text1"/>
        </w:rPr>
        <w:t>TAF will include the following functions:</w:t>
      </w:r>
    </w:p>
    <w:p w14:paraId="005484E3" w14:textId="77777777" w:rsidR="00FA2558" w:rsidRPr="00170E64" w:rsidRDefault="00FA2558" w:rsidP="00FA2558">
      <w:pPr>
        <w:spacing w:after="0" w:line="240" w:lineRule="auto"/>
        <w:jc w:val="both"/>
        <w:rPr>
          <w:rFonts w:ascii="Century Gothic" w:hAnsi="Century Gothic"/>
          <w:bCs/>
          <w:color w:val="000000" w:themeColor="text1"/>
        </w:rPr>
      </w:pPr>
    </w:p>
    <w:p w14:paraId="457A9AB5" w14:textId="77777777" w:rsidR="00FA2558" w:rsidRPr="00170E64" w:rsidRDefault="00187C9D" w:rsidP="00FA2558">
      <w:pPr>
        <w:pStyle w:val="ListParagraph"/>
        <w:numPr>
          <w:ilvl w:val="0"/>
          <w:numId w:val="15"/>
        </w:numPr>
        <w:spacing w:after="0"/>
        <w:jc w:val="both"/>
        <w:rPr>
          <w:rFonts w:ascii="Century Gothic" w:hAnsi="Century Gothic"/>
          <w:bCs/>
          <w:color w:val="000000" w:themeColor="text1"/>
        </w:rPr>
      </w:pPr>
      <w:r w:rsidRPr="00170E64">
        <w:rPr>
          <w:rFonts w:ascii="Century Gothic" w:hAnsi="Century Gothic"/>
          <w:bCs/>
          <w:color w:val="000000" w:themeColor="text1"/>
        </w:rPr>
        <w:t xml:space="preserve">The identification </w:t>
      </w:r>
      <w:r w:rsidR="005F71C5">
        <w:rPr>
          <w:rFonts w:ascii="Century Gothic" w:hAnsi="Century Gothic"/>
          <w:bCs/>
          <w:color w:val="000000" w:themeColor="text1"/>
        </w:rPr>
        <w:t xml:space="preserve">and development of assessment, RPL and mentor development </w:t>
      </w:r>
      <w:r w:rsidR="00FA2558" w:rsidRPr="00170E64">
        <w:rPr>
          <w:rFonts w:ascii="Century Gothic" w:hAnsi="Century Gothic"/>
          <w:bCs/>
          <w:color w:val="000000" w:themeColor="text1"/>
        </w:rPr>
        <w:t xml:space="preserve">capacity </w:t>
      </w:r>
      <w:r w:rsidR="009D675C">
        <w:rPr>
          <w:rFonts w:ascii="Century Gothic" w:hAnsi="Century Gothic"/>
          <w:bCs/>
          <w:color w:val="000000" w:themeColor="text1"/>
        </w:rPr>
        <w:t>for</w:t>
      </w:r>
      <w:r w:rsidRPr="00170E64">
        <w:rPr>
          <w:rFonts w:ascii="Century Gothic" w:hAnsi="Century Gothic"/>
          <w:bCs/>
          <w:color w:val="000000" w:themeColor="text1"/>
        </w:rPr>
        <w:t xml:space="preserve"> the occupations needed in the </w:t>
      </w:r>
      <w:r w:rsidR="00FA2558" w:rsidRPr="00170E64">
        <w:rPr>
          <w:rFonts w:ascii="Century Gothic" w:hAnsi="Century Gothic"/>
          <w:bCs/>
          <w:color w:val="000000" w:themeColor="text1"/>
        </w:rPr>
        <w:t xml:space="preserve">five priority </w:t>
      </w:r>
      <w:r w:rsidRPr="00170E64">
        <w:rPr>
          <w:rFonts w:ascii="Century Gothic" w:hAnsi="Century Gothic"/>
          <w:bCs/>
          <w:color w:val="000000" w:themeColor="text1"/>
        </w:rPr>
        <w:t>sector</w:t>
      </w:r>
      <w:r w:rsidR="00FA2558" w:rsidRPr="00170E64">
        <w:rPr>
          <w:rFonts w:ascii="Century Gothic" w:hAnsi="Century Gothic"/>
          <w:bCs/>
          <w:color w:val="000000" w:themeColor="text1"/>
        </w:rPr>
        <w:t>s</w:t>
      </w:r>
      <w:r w:rsidRPr="00170E64">
        <w:rPr>
          <w:rFonts w:ascii="Century Gothic" w:hAnsi="Century Gothic"/>
          <w:bCs/>
          <w:color w:val="000000" w:themeColor="text1"/>
        </w:rPr>
        <w:t>;</w:t>
      </w:r>
    </w:p>
    <w:p w14:paraId="0B8DEBF9" w14:textId="77777777" w:rsidR="00FA2558" w:rsidRPr="00170E64" w:rsidRDefault="00187C9D" w:rsidP="00FA2558">
      <w:pPr>
        <w:pStyle w:val="ListParagraph"/>
        <w:numPr>
          <w:ilvl w:val="0"/>
          <w:numId w:val="15"/>
        </w:numPr>
        <w:spacing w:after="0"/>
        <w:jc w:val="both"/>
        <w:rPr>
          <w:rFonts w:ascii="Century Gothic" w:hAnsi="Century Gothic"/>
          <w:bCs/>
          <w:color w:val="000000" w:themeColor="text1"/>
        </w:rPr>
      </w:pPr>
      <w:r w:rsidRPr="00170E64">
        <w:rPr>
          <w:rFonts w:ascii="Century Gothic" w:hAnsi="Century Gothic"/>
          <w:bCs/>
          <w:color w:val="000000" w:themeColor="text1"/>
        </w:rPr>
        <w:t>The identification</w:t>
      </w:r>
      <w:r w:rsidR="00FA2558" w:rsidRPr="00170E64">
        <w:rPr>
          <w:rFonts w:ascii="Century Gothic" w:hAnsi="Century Gothic"/>
          <w:bCs/>
          <w:color w:val="000000" w:themeColor="text1"/>
        </w:rPr>
        <w:t xml:space="preserve"> an</w:t>
      </w:r>
      <w:r w:rsidR="005F71C5">
        <w:rPr>
          <w:rFonts w:ascii="Century Gothic" w:hAnsi="Century Gothic"/>
          <w:bCs/>
          <w:color w:val="000000" w:themeColor="text1"/>
        </w:rPr>
        <w:t>d development of the assessment, RPL and mentor development</w:t>
      </w:r>
      <w:r w:rsidR="00E52414">
        <w:rPr>
          <w:rFonts w:ascii="Century Gothic" w:hAnsi="Century Gothic"/>
          <w:bCs/>
          <w:color w:val="000000" w:themeColor="text1"/>
        </w:rPr>
        <w:t xml:space="preserve"> </w:t>
      </w:r>
      <w:r w:rsidR="00FA2558" w:rsidRPr="00170E64">
        <w:rPr>
          <w:rFonts w:ascii="Century Gothic" w:hAnsi="Century Gothic"/>
          <w:bCs/>
          <w:color w:val="000000" w:themeColor="text1"/>
        </w:rPr>
        <w:t>centres across the five priority sectors;</w:t>
      </w:r>
    </w:p>
    <w:p w14:paraId="5EA265A1" w14:textId="77777777" w:rsidR="00FA2558" w:rsidRPr="00170E64" w:rsidRDefault="00FA2558" w:rsidP="00FA2558">
      <w:pPr>
        <w:pStyle w:val="ListParagraph"/>
        <w:numPr>
          <w:ilvl w:val="0"/>
          <w:numId w:val="15"/>
        </w:numPr>
        <w:spacing w:after="0"/>
        <w:jc w:val="both"/>
        <w:rPr>
          <w:rFonts w:ascii="Century Gothic" w:hAnsi="Century Gothic"/>
          <w:bCs/>
          <w:color w:val="000000" w:themeColor="text1"/>
        </w:rPr>
      </w:pPr>
      <w:r w:rsidRPr="00170E64">
        <w:rPr>
          <w:rFonts w:ascii="Century Gothic" w:hAnsi="Century Gothic"/>
          <w:bCs/>
          <w:color w:val="000000" w:themeColor="text1"/>
        </w:rPr>
        <w:t xml:space="preserve"> </w:t>
      </w:r>
      <w:r w:rsidR="00187C9D" w:rsidRPr="00170E64">
        <w:rPr>
          <w:rFonts w:ascii="Century Gothic" w:hAnsi="Century Gothic"/>
          <w:bCs/>
          <w:color w:val="000000" w:themeColor="text1"/>
        </w:rPr>
        <w:t xml:space="preserve">The facilitation of sector employer participation </w:t>
      </w:r>
      <w:r w:rsidR="00E52414">
        <w:rPr>
          <w:rFonts w:ascii="Century Gothic" w:hAnsi="Century Gothic"/>
          <w:bCs/>
          <w:color w:val="000000" w:themeColor="text1"/>
        </w:rPr>
        <w:t xml:space="preserve">in </w:t>
      </w:r>
      <w:r w:rsidRPr="00170E64">
        <w:rPr>
          <w:rFonts w:ascii="Century Gothic" w:hAnsi="Century Gothic"/>
          <w:bCs/>
          <w:color w:val="000000" w:themeColor="text1"/>
        </w:rPr>
        <w:t>assessment, RPL and mentor development.</w:t>
      </w:r>
    </w:p>
    <w:p w14:paraId="1721B7D8" w14:textId="77777777" w:rsidR="00FA2558" w:rsidRPr="00170E64" w:rsidRDefault="00FA2558" w:rsidP="00187C9D">
      <w:pPr>
        <w:jc w:val="both"/>
        <w:rPr>
          <w:rFonts w:ascii="Century Gothic" w:hAnsi="Century Gothic"/>
          <w:bCs/>
          <w:color w:val="000000" w:themeColor="text1"/>
        </w:rPr>
      </w:pPr>
    </w:p>
    <w:p w14:paraId="03969198" w14:textId="77777777" w:rsidR="00FA2558" w:rsidRPr="00170E64" w:rsidRDefault="00FA2558" w:rsidP="00FA2558">
      <w:pPr>
        <w:jc w:val="both"/>
        <w:rPr>
          <w:rFonts w:ascii="Century Gothic" w:hAnsi="Century Gothic"/>
          <w:bCs/>
          <w:color w:val="000000" w:themeColor="text1"/>
        </w:rPr>
      </w:pPr>
      <w:r w:rsidRPr="00170E64">
        <w:rPr>
          <w:rFonts w:ascii="Century Gothic" w:hAnsi="Century Gothic"/>
          <w:bCs/>
          <w:color w:val="000000" w:themeColor="text1"/>
        </w:rPr>
        <w:t xml:space="preserve">With consideration for the above, the following is the </w:t>
      </w:r>
      <w:r w:rsidR="009D675C">
        <w:rPr>
          <w:rFonts w:ascii="Century Gothic" w:hAnsi="Century Gothic"/>
          <w:bCs/>
          <w:color w:val="000000" w:themeColor="text1"/>
        </w:rPr>
        <w:t xml:space="preserve">membership </w:t>
      </w:r>
      <w:r w:rsidRPr="00170E64">
        <w:rPr>
          <w:rFonts w:ascii="Century Gothic" w:hAnsi="Century Gothic"/>
          <w:bCs/>
          <w:color w:val="000000" w:themeColor="text1"/>
        </w:rPr>
        <w:t xml:space="preserve">Assessment, RPL and Mentor Development TAF for the Apprenticeship Game Changer:  </w:t>
      </w:r>
    </w:p>
    <w:p w14:paraId="425C2991" w14:textId="77777777" w:rsidR="00187C9D" w:rsidRPr="00170E64" w:rsidRDefault="00187C9D" w:rsidP="00187C9D">
      <w:pPr>
        <w:pStyle w:val="ListParagraph"/>
        <w:numPr>
          <w:ilvl w:val="1"/>
          <w:numId w:val="6"/>
        </w:numPr>
        <w:spacing w:after="0"/>
        <w:jc w:val="both"/>
        <w:rPr>
          <w:rFonts w:ascii="Century Gothic" w:hAnsi="Century Gothic"/>
          <w:color w:val="000000" w:themeColor="text1"/>
        </w:rPr>
      </w:pPr>
      <w:r w:rsidRPr="00170E64">
        <w:rPr>
          <w:rFonts w:ascii="Century Gothic" w:hAnsi="Century Gothic"/>
          <w:color w:val="000000" w:themeColor="text1"/>
        </w:rPr>
        <w:lastRenderedPageBreak/>
        <w:t xml:space="preserve">Convening &amp; Coordination: </w:t>
      </w:r>
      <w:proofErr w:type="spellStart"/>
      <w:r w:rsidR="00FA2558" w:rsidRPr="00170E64">
        <w:rPr>
          <w:rFonts w:ascii="Century Gothic" w:hAnsi="Century Gothic"/>
          <w:color w:val="000000" w:themeColor="text1"/>
        </w:rPr>
        <w:t>Northlink</w:t>
      </w:r>
      <w:proofErr w:type="spellEnd"/>
      <w:r w:rsidR="00FA2558" w:rsidRPr="00170E64">
        <w:rPr>
          <w:rFonts w:ascii="Century Gothic" w:hAnsi="Century Gothic"/>
          <w:color w:val="000000" w:themeColor="text1"/>
        </w:rPr>
        <w:t xml:space="preserve"> TVET </w:t>
      </w:r>
      <w:r w:rsidRPr="00170E64">
        <w:rPr>
          <w:rFonts w:ascii="Century Gothic" w:hAnsi="Century Gothic"/>
          <w:color w:val="000000" w:themeColor="text1"/>
        </w:rPr>
        <w:t>College</w:t>
      </w:r>
      <w:r w:rsidR="005F71C5">
        <w:rPr>
          <w:rFonts w:ascii="Century Gothic" w:hAnsi="Century Gothic"/>
          <w:color w:val="000000" w:themeColor="text1"/>
        </w:rPr>
        <w:t xml:space="preserve"> + Imperial</w:t>
      </w:r>
    </w:p>
    <w:p w14:paraId="64B3861A" w14:textId="77777777" w:rsidR="00187C9D" w:rsidRPr="00170E64" w:rsidRDefault="00187C9D" w:rsidP="00187C9D">
      <w:pPr>
        <w:pStyle w:val="ListParagraph"/>
        <w:numPr>
          <w:ilvl w:val="1"/>
          <w:numId w:val="6"/>
        </w:numPr>
        <w:spacing w:after="0"/>
        <w:jc w:val="both"/>
        <w:rPr>
          <w:rFonts w:ascii="Century Gothic" w:hAnsi="Century Gothic"/>
          <w:color w:val="000000" w:themeColor="text1"/>
        </w:rPr>
      </w:pPr>
      <w:r w:rsidRPr="00170E64">
        <w:rPr>
          <w:rFonts w:ascii="Century Gothic" w:hAnsi="Century Gothic"/>
          <w:color w:val="000000" w:themeColor="text1"/>
        </w:rPr>
        <w:t xml:space="preserve">Membership (that can be adjusted as required) </w:t>
      </w:r>
    </w:p>
    <w:p w14:paraId="562C78E6" w14:textId="77777777" w:rsidR="00187C9D" w:rsidRPr="005F71C5" w:rsidRDefault="005F71C5" w:rsidP="000E04DE">
      <w:pPr>
        <w:pStyle w:val="ListParagraph"/>
        <w:numPr>
          <w:ilvl w:val="2"/>
          <w:numId w:val="6"/>
        </w:numPr>
        <w:spacing w:after="0"/>
        <w:jc w:val="both"/>
        <w:rPr>
          <w:rFonts w:ascii="Century Gothic" w:hAnsi="Century Gothic"/>
          <w:color w:val="000000" w:themeColor="text1"/>
        </w:rPr>
      </w:pPr>
      <w:r w:rsidRPr="005F71C5">
        <w:rPr>
          <w:rFonts w:ascii="Century Gothic" w:hAnsi="Century Gothic"/>
          <w:color w:val="000000" w:themeColor="text1"/>
        </w:rPr>
        <w:t>WCG (</w:t>
      </w:r>
      <w:r w:rsidR="00187C9D" w:rsidRPr="005F71C5">
        <w:rPr>
          <w:rFonts w:ascii="Century Gothic" w:hAnsi="Century Gothic"/>
          <w:color w:val="000000" w:themeColor="text1"/>
        </w:rPr>
        <w:t>DEDAT</w:t>
      </w:r>
      <w:r w:rsidRPr="005F71C5">
        <w:rPr>
          <w:rFonts w:ascii="Century Gothic" w:hAnsi="Century Gothic"/>
          <w:color w:val="000000" w:themeColor="text1"/>
        </w:rPr>
        <w:t>,</w:t>
      </w:r>
      <w:r>
        <w:rPr>
          <w:rFonts w:ascii="Century Gothic" w:hAnsi="Century Gothic"/>
          <w:color w:val="000000" w:themeColor="text1"/>
        </w:rPr>
        <w:t xml:space="preserve"> </w:t>
      </w:r>
      <w:r w:rsidR="00187C9D" w:rsidRPr="005F71C5">
        <w:rPr>
          <w:rFonts w:ascii="Century Gothic" w:hAnsi="Century Gothic"/>
          <w:color w:val="000000" w:themeColor="text1"/>
        </w:rPr>
        <w:t>DSU</w:t>
      </w:r>
      <w:r>
        <w:rPr>
          <w:rFonts w:ascii="Century Gothic" w:hAnsi="Century Gothic"/>
          <w:color w:val="000000" w:themeColor="text1"/>
        </w:rPr>
        <w:t>)</w:t>
      </w:r>
    </w:p>
    <w:p w14:paraId="0326E726" w14:textId="77777777" w:rsidR="00E37407" w:rsidRDefault="00E37407" w:rsidP="00187C9D">
      <w:pPr>
        <w:pStyle w:val="ListParagraph"/>
        <w:numPr>
          <w:ilvl w:val="2"/>
          <w:numId w:val="6"/>
        </w:numPr>
        <w:spacing w:after="0"/>
        <w:jc w:val="both"/>
        <w:rPr>
          <w:rFonts w:ascii="Century Gothic" w:hAnsi="Century Gothic"/>
          <w:color w:val="000000" w:themeColor="text1"/>
        </w:rPr>
      </w:pPr>
      <w:r>
        <w:rPr>
          <w:rFonts w:ascii="Century Gothic" w:hAnsi="Century Gothic"/>
          <w:color w:val="000000" w:themeColor="text1"/>
        </w:rPr>
        <w:t>All public TVET Colleges</w:t>
      </w:r>
    </w:p>
    <w:p w14:paraId="067E5D3F" w14:textId="77777777" w:rsidR="00FA2558" w:rsidRPr="00170E64" w:rsidRDefault="00FA2558" w:rsidP="00187C9D">
      <w:pPr>
        <w:pStyle w:val="ListParagraph"/>
        <w:numPr>
          <w:ilvl w:val="2"/>
          <w:numId w:val="6"/>
        </w:numPr>
        <w:spacing w:after="0"/>
        <w:jc w:val="both"/>
        <w:rPr>
          <w:rFonts w:ascii="Century Gothic" w:hAnsi="Century Gothic"/>
          <w:color w:val="000000" w:themeColor="text1"/>
        </w:rPr>
      </w:pPr>
      <w:r w:rsidRPr="00170E64">
        <w:rPr>
          <w:rFonts w:ascii="Century Gothic" w:hAnsi="Century Gothic"/>
          <w:color w:val="000000" w:themeColor="text1"/>
        </w:rPr>
        <w:t xml:space="preserve">All QCTO / SETA Accredited Assessment Centres  </w:t>
      </w:r>
    </w:p>
    <w:p w14:paraId="38CBF575" w14:textId="77777777" w:rsidR="009D675C" w:rsidRDefault="009D675C" w:rsidP="005F71C5">
      <w:pPr>
        <w:pStyle w:val="ListParagraph"/>
        <w:numPr>
          <w:ilvl w:val="2"/>
          <w:numId w:val="6"/>
        </w:numPr>
        <w:spacing w:after="0"/>
        <w:jc w:val="both"/>
        <w:rPr>
          <w:rFonts w:ascii="Century Gothic" w:hAnsi="Century Gothic"/>
          <w:color w:val="000000" w:themeColor="text1"/>
        </w:rPr>
      </w:pPr>
      <w:r>
        <w:rPr>
          <w:rFonts w:ascii="Century Gothic" w:hAnsi="Century Gothic"/>
          <w:color w:val="000000" w:themeColor="text1"/>
        </w:rPr>
        <w:t>Quality Council for Trades and Occupations</w:t>
      </w:r>
    </w:p>
    <w:p w14:paraId="0394637D" w14:textId="77777777" w:rsidR="009D675C" w:rsidRDefault="009D675C" w:rsidP="005F71C5">
      <w:pPr>
        <w:pStyle w:val="ListParagraph"/>
        <w:numPr>
          <w:ilvl w:val="2"/>
          <w:numId w:val="6"/>
        </w:numPr>
        <w:spacing w:after="0"/>
        <w:jc w:val="both"/>
        <w:rPr>
          <w:rFonts w:ascii="Century Gothic" w:hAnsi="Century Gothic"/>
          <w:color w:val="000000" w:themeColor="text1"/>
        </w:rPr>
      </w:pPr>
      <w:r>
        <w:rPr>
          <w:rFonts w:ascii="Century Gothic" w:hAnsi="Century Gothic"/>
          <w:color w:val="000000" w:themeColor="text1"/>
        </w:rPr>
        <w:t>Relevant Assessment Quality Partners</w:t>
      </w:r>
    </w:p>
    <w:p w14:paraId="6EB95C5E" w14:textId="77777777" w:rsidR="005F71C5" w:rsidRDefault="005F71C5" w:rsidP="005F71C5">
      <w:pPr>
        <w:pStyle w:val="ListParagraph"/>
        <w:numPr>
          <w:ilvl w:val="2"/>
          <w:numId w:val="6"/>
        </w:numPr>
        <w:spacing w:after="0"/>
        <w:jc w:val="both"/>
        <w:rPr>
          <w:rFonts w:ascii="Century Gothic" w:hAnsi="Century Gothic"/>
          <w:color w:val="000000" w:themeColor="text1"/>
        </w:rPr>
      </w:pPr>
      <w:r w:rsidRPr="00170E64">
        <w:rPr>
          <w:rFonts w:ascii="Century Gothic" w:hAnsi="Century Gothic"/>
          <w:color w:val="000000" w:themeColor="text1"/>
        </w:rPr>
        <w:t xml:space="preserve">Employer </w:t>
      </w:r>
      <w:r>
        <w:rPr>
          <w:rFonts w:ascii="Century Gothic" w:hAnsi="Century Gothic"/>
          <w:color w:val="000000" w:themeColor="text1"/>
        </w:rPr>
        <w:t>Structures</w:t>
      </w:r>
    </w:p>
    <w:p w14:paraId="5819778F" w14:textId="77777777" w:rsidR="005F71C5" w:rsidRPr="00170E64" w:rsidRDefault="005F71C5" w:rsidP="005F71C5">
      <w:pPr>
        <w:pStyle w:val="ListParagraph"/>
        <w:numPr>
          <w:ilvl w:val="2"/>
          <w:numId w:val="6"/>
        </w:numPr>
        <w:spacing w:after="0"/>
        <w:jc w:val="both"/>
        <w:rPr>
          <w:rFonts w:ascii="Century Gothic" w:hAnsi="Century Gothic"/>
          <w:color w:val="000000" w:themeColor="text1"/>
        </w:rPr>
      </w:pPr>
      <w:r>
        <w:rPr>
          <w:rFonts w:ascii="Century Gothic" w:hAnsi="Century Gothic"/>
          <w:color w:val="000000" w:themeColor="text1"/>
        </w:rPr>
        <w:t>Organised Labour Structures</w:t>
      </w:r>
    </w:p>
    <w:p w14:paraId="640C9B10" w14:textId="77777777" w:rsidR="005F71C5" w:rsidRDefault="005F71C5" w:rsidP="003769AD">
      <w:pPr>
        <w:jc w:val="both"/>
        <w:rPr>
          <w:rFonts w:ascii="Century Gothic" w:hAnsi="Century Gothic" w:cs="Calibri"/>
          <w:bCs/>
          <w:color w:val="000000" w:themeColor="text1"/>
          <w:lang w:val="en-US"/>
        </w:rPr>
      </w:pPr>
    </w:p>
    <w:p w14:paraId="52A5A727" w14:textId="77777777" w:rsidR="00A67B5D" w:rsidRPr="00170E64" w:rsidRDefault="00A67B5D" w:rsidP="003769AD">
      <w:pPr>
        <w:jc w:val="both"/>
        <w:rPr>
          <w:rFonts w:ascii="Century Gothic" w:hAnsi="Century Gothic" w:cs="Calibri"/>
          <w:bCs/>
          <w:color w:val="000000" w:themeColor="text1"/>
          <w:lang w:val="en-US"/>
        </w:rPr>
      </w:pPr>
      <w:r w:rsidRPr="00170E64">
        <w:rPr>
          <w:rFonts w:ascii="Century Gothic" w:hAnsi="Century Gothic" w:cs="Calibri"/>
          <w:bCs/>
          <w:color w:val="000000" w:themeColor="text1"/>
          <w:lang w:val="en-US"/>
        </w:rPr>
        <w:t xml:space="preserve">It is stressed though that with a view to avoiding duplication of work and consolidation of scarce resources, the work of the </w:t>
      </w:r>
      <w:r w:rsidRPr="00170E64">
        <w:rPr>
          <w:rFonts w:ascii="Century Gothic" w:hAnsi="Century Gothic"/>
          <w:bCs/>
          <w:color w:val="000000" w:themeColor="text1"/>
        </w:rPr>
        <w:t xml:space="preserve">Assessment, RPL and Mentor Development TAF </w:t>
      </w:r>
      <w:r w:rsidR="009D675C">
        <w:rPr>
          <w:rFonts w:ascii="Century Gothic" w:hAnsi="Century Gothic"/>
          <w:bCs/>
          <w:color w:val="000000" w:themeColor="text1"/>
        </w:rPr>
        <w:t xml:space="preserve">is </w:t>
      </w:r>
      <w:r w:rsidRPr="00170E64">
        <w:rPr>
          <w:rFonts w:ascii="Century Gothic" w:hAnsi="Century Gothic"/>
          <w:bCs/>
          <w:color w:val="000000" w:themeColor="text1"/>
        </w:rPr>
        <w:t>integrated with the work of the Western Cape Provincial Artisan Development Steering Committee (PADSC)</w:t>
      </w:r>
      <w:r w:rsidR="005F71C5">
        <w:rPr>
          <w:rFonts w:ascii="Century Gothic" w:hAnsi="Century Gothic"/>
          <w:bCs/>
          <w:color w:val="000000" w:themeColor="text1"/>
        </w:rPr>
        <w:t xml:space="preserve"> and its sub structures</w:t>
      </w:r>
      <w:r w:rsidR="009D675C">
        <w:rPr>
          <w:rFonts w:ascii="Century Gothic" w:hAnsi="Century Gothic"/>
          <w:bCs/>
          <w:color w:val="000000" w:themeColor="text1"/>
        </w:rPr>
        <w:t xml:space="preserve"> as well as AGC RPL and Mentor Development Projects</w:t>
      </w:r>
      <w:proofErr w:type="gramStart"/>
      <w:r w:rsidR="009D675C">
        <w:rPr>
          <w:rFonts w:ascii="Century Gothic" w:hAnsi="Century Gothic"/>
          <w:bCs/>
          <w:color w:val="000000" w:themeColor="text1"/>
        </w:rPr>
        <w:t xml:space="preserve">. </w:t>
      </w:r>
      <w:r w:rsidRPr="00170E64">
        <w:rPr>
          <w:rFonts w:ascii="Century Gothic" w:hAnsi="Century Gothic"/>
          <w:bCs/>
          <w:color w:val="000000" w:themeColor="text1"/>
        </w:rPr>
        <w:t>.</w:t>
      </w:r>
      <w:proofErr w:type="gramEnd"/>
      <w:r w:rsidRPr="00170E64">
        <w:rPr>
          <w:rFonts w:ascii="Century Gothic" w:hAnsi="Century Gothic"/>
          <w:bCs/>
          <w:color w:val="000000" w:themeColor="text1"/>
        </w:rPr>
        <w:t xml:space="preserve"> </w:t>
      </w:r>
    </w:p>
    <w:p w14:paraId="380A640D" w14:textId="77777777" w:rsidR="00A67B5D" w:rsidRPr="00170E64" w:rsidRDefault="00A67B5D" w:rsidP="003769AD">
      <w:pPr>
        <w:jc w:val="both"/>
        <w:rPr>
          <w:rFonts w:ascii="Century Gothic" w:hAnsi="Century Gothic" w:cs="Calibri"/>
          <w:bCs/>
          <w:color w:val="000000" w:themeColor="text1"/>
          <w:lang w:val="en-US"/>
        </w:rPr>
      </w:pPr>
    </w:p>
    <w:p w14:paraId="01AD1B3F" w14:textId="77777777" w:rsidR="00187C9D" w:rsidRPr="00170E64" w:rsidRDefault="00187C9D" w:rsidP="00187C9D">
      <w:pPr>
        <w:pStyle w:val="ListParagraph"/>
        <w:numPr>
          <w:ilvl w:val="0"/>
          <w:numId w:val="9"/>
        </w:numPr>
        <w:spacing w:after="0" w:line="240" w:lineRule="auto"/>
        <w:jc w:val="both"/>
        <w:rPr>
          <w:rFonts w:ascii="Century Gothic" w:hAnsi="Century Gothic"/>
          <w:bCs/>
          <w:color w:val="000000" w:themeColor="text1"/>
        </w:rPr>
      </w:pPr>
      <w:r w:rsidRPr="00170E64">
        <w:rPr>
          <w:rFonts w:ascii="Century Gothic" w:hAnsi="Century Gothic"/>
          <w:b/>
          <w:bCs/>
          <w:color w:val="000000" w:themeColor="text1"/>
        </w:rPr>
        <w:t xml:space="preserve">TAF Operationalization </w:t>
      </w:r>
    </w:p>
    <w:p w14:paraId="68FAEF2A" w14:textId="77777777" w:rsidR="00FA2558" w:rsidRPr="00170E64" w:rsidRDefault="00FA2558" w:rsidP="003769AD">
      <w:pPr>
        <w:jc w:val="both"/>
        <w:rPr>
          <w:rFonts w:ascii="Century Gothic" w:hAnsi="Century Gothic" w:cs="Calibri"/>
          <w:bCs/>
          <w:color w:val="000000" w:themeColor="text1"/>
          <w:lang w:val="en-US"/>
        </w:rPr>
      </w:pPr>
    </w:p>
    <w:p w14:paraId="7DB60FB3" w14:textId="64193689" w:rsidR="003769AD" w:rsidRPr="00170E64" w:rsidRDefault="003769AD" w:rsidP="003769AD">
      <w:pPr>
        <w:jc w:val="both"/>
        <w:rPr>
          <w:rFonts w:ascii="Century Gothic" w:hAnsi="Century Gothic" w:cs="Calibri"/>
          <w:bCs/>
          <w:color w:val="000000" w:themeColor="text1"/>
          <w:lang w:val="en-US"/>
        </w:rPr>
      </w:pPr>
      <w:r w:rsidRPr="00170E64">
        <w:rPr>
          <w:rFonts w:ascii="Century Gothic" w:hAnsi="Century Gothic" w:cs="Calibri"/>
          <w:bCs/>
          <w:color w:val="000000" w:themeColor="text1"/>
          <w:u w:val="single"/>
          <w:lang w:val="en-US"/>
        </w:rPr>
        <w:t>Leadership:</w:t>
      </w:r>
      <w:r w:rsidR="008760D8">
        <w:rPr>
          <w:rFonts w:ascii="Century Gothic" w:hAnsi="Century Gothic" w:cs="Calibri"/>
          <w:bCs/>
          <w:color w:val="000000" w:themeColor="text1"/>
          <w:lang w:val="en-US"/>
        </w:rPr>
        <w:t xml:space="preserve"> Each TAF will be C</w:t>
      </w:r>
      <w:r w:rsidRPr="00170E64">
        <w:rPr>
          <w:rFonts w:ascii="Century Gothic" w:hAnsi="Century Gothic" w:cs="Calibri"/>
          <w:bCs/>
          <w:color w:val="000000" w:themeColor="text1"/>
          <w:lang w:val="en-US"/>
        </w:rPr>
        <w:t xml:space="preserve">haired by </w:t>
      </w:r>
      <w:r w:rsidR="00FA2558" w:rsidRPr="00170E64">
        <w:rPr>
          <w:rFonts w:ascii="Century Gothic" w:hAnsi="Century Gothic" w:cs="Calibri"/>
          <w:bCs/>
          <w:color w:val="000000" w:themeColor="text1"/>
          <w:lang w:val="en-US"/>
        </w:rPr>
        <w:t xml:space="preserve">the </w:t>
      </w:r>
      <w:r w:rsidR="005F71C5">
        <w:rPr>
          <w:rFonts w:ascii="Century Gothic" w:hAnsi="Century Gothic" w:cs="Calibri"/>
          <w:bCs/>
          <w:color w:val="000000" w:themeColor="text1"/>
          <w:lang w:val="en-US"/>
        </w:rPr>
        <w:t xml:space="preserve">Senior Manager </w:t>
      </w:r>
      <w:r w:rsidR="00FA2558" w:rsidRPr="00170E64">
        <w:rPr>
          <w:rFonts w:ascii="Century Gothic" w:hAnsi="Century Gothic" w:cs="Calibri"/>
          <w:bCs/>
          <w:color w:val="000000" w:themeColor="text1"/>
          <w:lang w:val="en-US"/>
        </w:rPr>
        <w:t xml:space="preserve">of </w:t>
      </w:r>
      <w:r w:rsidRPr="00170E64">
        <w:rPr>
          <w:rFonts w:ascii="Century Gothic" w:hAnsi="Century Gothic" w:cs="Calibri"/>
          <w:bCs/>
          <w:color w:val="000000" w:themeColor="text1"/>
          <w:lang w:val="en-US"/>
        </w:rPr>
        <w:t xml:space="preserve">the Coordinating TVET College </w:t>
      </w:r>
      <w:r w:rsidR="005F71C5">
        <w:rPr>
          <w:rFonts w:ascii="Century Gothic" w:hAnsi="Century Gothic" w:cs="Calibri"/>
          <w:bCs/>
          <w:color w:val="000000" w:themeColor="text1"/>
          <w:lang w:val="en-US"/>
        </w:rPr>
        <w:t xml:space="preserve">supported by the relevant partner organization for each TAF. </w:t>
      </w:r>
      <w:r w:rsidRPr="00170E64">
        <w:rPr>
          <w:rFonts w:ascii="Century Gothic" w:hAnsi="Century Gothic" w:cs="Calibri"/>
          <w:bCs/>
          <w:color w:val="000000" w:themeColor="text1"/>
          <w:lang w:val="en-US"/>
        </w:rPr>
        <w:t xml:space="preserve"> </w:t>
      </w:r>
    </w:p>
    <w:p w14:paraId="4C853705" w14:textId="77777777" w:rsidR="003769AD" w:rsidRPr="00170E64" w:rsidRDefault="003769AD" w:rsidP="003769AD">
      <w:pPr>
        <w:jc w:val="both"/>
        <w:rPr>
          <w:rFonts w:ascii="Century Gothic" w:hAnsi="Century Gothic" w:cs="Calibri"/>
          <w:bCs/>
          <w:color w:val="000000" w:themeColor="text1"/>
          <w:lang w:val="en-US"/>
        </w:rPr>
      </w:pPr>
      <w:r w:rsidRPr="00170E64">
        <w:rPr>
          <w:rFonts w:ascii="Century Gothic" w:hAnsi="Century Gothic" w:cs="Calibri"/>
          <w:bCs/>
          <w:color w:val="000000" w:themeColor="text1"/>
          <w:u w:val="single"/>
          <w:lang w:val="en-US"/>
        </w:rPr>
        <w:t>Membership:</w:t>
      </w:r>
      <w:r w:rsidRPr="00170E64">
        <w:rPr>
          <w:rFonts w:ascii="Century Gothic" w:hAnsi="Century Gothic" w:cs="Calibri"/>
          <w:bCs/>
          <w:color w:val="000000" w:themeColor="text1"/>
          <w:lang w:val="en-US"/>
        </w:rPr>
        <w:t xml:space="preserve"> Each organization or separate units within an organization (such as DEDAT) will allocate a permanent member</w:t>
      </w:r>
      <w:r w:rsidR="005F71C5">
        <w:rPr>
          <w:rFonts w:ascii="Century Gothic" w:hAnsi="Century Gothic" w:cs="Calibri"/>
          <w:bCs/>
          <w:color w:val="000000" w:themeColor="text1"/>
          <w:lang w:val="en-US"/>
        </w:rPr>
        <w:t xml:space="preserve"> to each TAF. </w:t>
      </w:r>
      <w:r w:rsidR="00CF46BF" w:rsidRPr="00170E64">
        <w:rPr>
          <w:rFonts w:ascii="Century Gothic" w:hAnsi="Century Gothic" w:cs="Calibri"/>
          <w:bCs/>
          <w:color w:val="000000" w:themeColor="text1"/>
          <w:lang w:val="en-US"/>
        </w:rPr>
        <w:t xml:space="preserve">The permanent member </w:t>
      </w:r>
      <w:r w:rsidR="005F71C5">
        <w:rPr>
          <w:rFonts w:ascii="Century Gothic" w:hAnsi="Century Gothic" w:cs="Calibri"/>
          <w:bCs/>
          <w:color w:val="000000" w:themeColor="text1"/>
          <w:lang w:val="en-US"/>
        </w:rPr>
        <w:t xml:space="preserve">may be represented by a </w:t>
      </w:r>
      <w:r w:rsidR="00CF46BF" w:rsidRPr="00170E64">
        <w:rPr>
          <w:rFonts w:ascii="Century Gothic" w:hAnsi="Century Gothic" w:cs="Calibri"/>
          <w:bCs/>
          <w:color w:val="000000" w:themeColor="text1"/>
          <w:lang w:val="en-US"/>
        </w:rPr>
        <w:t>prox</w:t>
      </w:r>
      <w:r w:rsidR="005F71C5">
        <w:rPr>
          <w:rFonts w:ascii="Century Gothic" w:hAnsi="Century Gothic" w:cs="Calibri"/>
          <w:bCs/>
          <w:color w:val="000000" w:themeColor="text1"/>
          <w:lang w:val="en-US"/>
        </w:rPr>
        <w:t>y on the understanding that the proxy will update the permanent member.</w:t>
      </w:r>
      <w:r w:rsidR="00CF46BF" w:rsidRPr="00170E64">
        <w:rPr>
          <w:rFonts w:ascii="Century Gothic" w:hAnsi="Century Gothic" w:cs="Calibri"/>
          <w:bCs/>
          <w:color w:val="000000" w:themeColor="text1"/>
          <w:lang w:val="en-US"/>
        </w:rPr>
        <w:t xml:space="preserve"> </w:t>
      </w:r>
      <w:r w:rsidR="0011067C" w:rsidRPr="00170E64">
        <w:rPr>
          <w:rFonts w:ascii="Century Gothic" w:hAnsi="Century Gothic" w:cs="Calibri"/>
          <w:bCs/>
          <w:color w:val="000000" w:themeColor="text1"/>
          <w:lang w:val="en-US"/>
        </w:rPr>
        <w:t xml:space="preserve">Any organization active within a priority economic sector can </w:t>
      </w:r>
      <w:r w:rsidR="0093017F">
        <w:rPr>
          <w:rFonts w:ascii="Century Gothic" w:hAnsi="Century Gothic" w:cs="Calibri"/>
          <w:bCs/>
          <w:color w:val="000000" w:themeColor="text1"/>
          <w:lang w:val="en-US"/>
        </w:rPr>
        <w:t>interact with the TAF through e</w:t>
      </w:r>
      <w:r w:rsidR="00E52414">
        <w:rPr>
          <w:rFonts w:ascii="Century Gothic" w:hAnsi="Century Gothic" w:cs="Calibri"/>
          <w:bCs/>
          <w:color w:val="000000" w:themeColor="text1"/>
          <w:lang w:val="en-US"/>
        </w:rPr>
        <w:t>-</w:t>
      </w:r>
      <w:r w:rsidR="0093017F">
        <w:rPr>
          <w:rFonts w:ascii="Century Gothic" w:hAnsi="Century Gothic" w:cs="Calibri"/>
          <w:bCs/>
          <w:color w:val="000000" w:themeColor="text1"/>
          <w:lang w:val="en-US"/>
        </w:rPr>
        <w:t xml:space="preserve">based processes. </w:t>
      </w:r>
      <w:r w:rsidR="0011067C" w:rsidRPr="00170E64">
        <w:rPr>
          <w:rFonts w:ascii="Century Gothic" w:hAnsi="Century Gothic" w:cs="Calibri"/>
          <w:bCs/>
          <w:color w:val="000000" w:themeColor="text1"/>
          <w:lang w:val="en-US"/>
        </w:rPr>
        <w:t xml:space="preserve"> </w:t>
      </w:r>
    </w:p>
    <w:p w14:paraId="2D9C915C" w14:textId="77777777" w:rsidR="003769AD" w:rsidRPr="00170E64" w:rsidRDefault="003769AD" w:rsidP="003769AD">
      <w:pPr>
        <w:jc w:val="both"/>
        <w:rPr>
          <w:rFonts w:ascii="Century Gothic" w:hAnsi="Century Gothic" w:cs="Calibri"/>
          <w:bCs/>
          <w:color w:val="000000" w:themeColor="text1"/>
          <w:lang w:val="en-US"/>
        </w:rPr>
      </w:pPr>
      <w:r w:rsidRPr="00170E64">
        <w:rPr>
          <w:rFonts w:ascii="Century Gothic" w:hAnsi="Century Gothic" w:cs="Calibri"/>
          <w:bCs/>
          <w:color w:val="000000" w:themeColor="text1"/>
          <w:u w:val="single"/>
          <w:lang w:val="en-US"/>
        </w:rPr>
        <w:t>Quorum:</w:t>
      </w:r>
      <w:r w:rsidRPr="00170E64">
        <w:rPr>
          <w:rFonts w:ascii="Century Gothic" w:hAnsi="Century Gothic" w:cs="Calibri"/>
          <w:bCs/>
          <w:color w:val="000000" w:themeColor="text1"/>
          <w:lang w:val="en-US"/>
        </w:rPr>
        <w:t xml:space="preserve"> No quorum requirements considered necessary as the TAF is an advisory body and not executive body. </w:t>
      </w:r>
    </w:p>
    <w:p w14:paraId="6A814864" w14:textId="77777777" w:rsidR="003769AD" w:rsidRPr="00170E64" w:rsidRDefault="003769AD" w:rsidP="003769AD">
      <w:pPr>
        <w:jc w:val="both"/>
        <w:rPr>
          <w:rFonts w:ascii="Century Gothic" w:hAnsi="Century Gothic" w:cs="Calibri"/>
          <w:bCs/>
          <w:color w:val="000000" w:themeColor="text1"/>
          <w:lang w:val="en-US"/>
        </w:rPr>
      </w:pPr>
      <w:r w:rsidRPr="00170E64">
        <w:rPr>
          <w:rFonts w:ascii="Century Gothic" w:hAnsi="Century Gothic" w:cs="Calibri"/>
          <w:bCs/>
          <w:color w:val="000000" w:themeColor="text1"/>
          <w:u w:val="single"/>
          <w:lang w:val="en-US"/>
        </w:rPr>
        <w:t>Secretariat:</w:t>
      </w:r>
      <w:r w:rsidRPr="00170E64">
        <w:rPr>
          <w:rFonts w:ascii="Century Gothic" w:hAnsi="Century Gothic" w:cs="Calibri"/>
          <w:bCs/>
          <w:color w:val="000000" w:themeColor="text1"/>
          <w:lang w:val="en-US"/>
        </w:rPr>
        <w:t xml:space="preserve"> </w:t>
      </w:r>
      <w:r w:rsidR="00CF46BF" w:rsidRPr="00170E64">
        <w:rPr>
          <w:rFonts w:ascii="Century Gothic" w:hAnsi="Century Gothic" w:cs="Calibri"/>
          <w:bCs/>
          <w:color w:val="000000" w:themeColor="text1"/>
          <w:lang w:val="en-US"/>
        </w:rPr>
        <w:t xml:space="preserve">This will be managed by the </w:t>
      </w:r>
      <w:r w:rsidRPr="00170E64">
        <w:rPr>
          <w:rFonts w:ascii="Century Gothic" w:hAnsi="Century Gothic" w:cs="Calibri"/>
          <w:bCs/>
          <w:color w:val="000000" w:themeColor="text1"/>
          <w:lang w:val="en-US"/>
        </w:rPr>
        <w:t xml:space="preserve">DEDAT with all communications and administrative process related to the TAFs managed through </w:t>
      </w:r>
      <w:r w:rsidR="0093017F">
        <w:rPr>
          <w:rFonts w:ascii="Century Gothic" w:hAnsi="Century Gothic" w:cs="Calibri"/>
          <w:bCs/>
          <w:color w:val="000000" w:themeColor="text1"/>
          <w:lang w:val="en-US"/>
        </w:rPr>
        <w:t xml:space="preserve">e-based processes. </w:t>
      </w:r>
      <w:r w:rsidRPr="00170E64">
        <w:rPr>
          <w:rFonts w:ascii="Century Gothic" w:hAnsi="Century Gothic" w:cs="Calibri"/>
          <w:bCs/>
          <w:color w:val="000000" w:themeColor="text1"/>
          <w:lang w:val="en-US"/>
        </w:rPr>
        <w:t xml:space="preserve"> </w:t>
      </w:r>
    </w:p>
    <w:p w14:paraId="7CC31996" w14:textId="77777777" w:rsidR="00CF46BF" w:rsidRPr="00170E64" w:rsidRDefault="003769AD" w:rsidP="003769AD">
      <w:pPr>
        <w:jc w:val="both"/>
        <w:rPr>
          <w:rFonts w:ascii="Century Gothic" w:hAnsi="Century Gothic" w:cs="Calibri"/>
          <w:bCs/>
          <w:color w:val="000000" w:themeColor="text1"/>
          <w:lang w:val="en-US"/>
        </w:rPr>
      </w:pPr>
      <w:r w:rsidRPr="00170E64">
        <w:rPr>
          <w:rFonts w:ascii="Century Gothic" w:hAnsi="Century Gothic" w:cs="Calibri"/>
          <w:bCs/>
          <w:color w:val="000000" w:themeColor="text1"/>
          <w:u w:val="single"/>
          <w:lang w:val="en-US"/>
        </w:rPr>
        <w:t>Meetings:</w:t>
      </w:r>
      <w:r w:rsidRPr="00170E64">
        <w:rPr>
          <w:rFonts w:ascii="Century Gothic" w:hAnsi="Century Gothic" w:cs="Calibri"/>
          <w:bCs/>
          <w:color w:val="000000" w:themeColor="text1"/>
          <w:lang w:val="en-US"/>
        </w:rPr>
        <w:t xml:space="preserve"> </w:t>
      </w:r>
      <w:r w:rsidR="0093017F">
        <w:rPr>
          <w:rFonts w:ascii="Century Gothic" w:hAnsi="Century Gothic" w:cs="Calibri"/>
          <w:bCs/>
          <w:color w:val="000000" w:themeColor="text1"/>
          <w:lang w:val="en-US"/>
        </w:rPr>
        <w:t xml:space="preserve">Not more than quarterly face to face meetings as per published schedule. </w:t>
      </w:r>
      <w:r w:rsidR="00CF46BF" w:rsidRPr="00170E64">
        <w:rPr>
          <w:rFonts w:ascii="Century Gothic" w:hAnsi="Century Gothic" w:cs="Calibri"/>
          <w:bCs/>
          <w:color w:val="000000" w:themeColor="text1"/>
          <w:lang w:val="en-US"/>
        </w:rPr>
        <w:t xml:space="preserve">However supplementary engagements between various members </w:t>
      </w:r>
      <w:r w:rsidR="0093017F">
        <w:rPr>
          <w:rFonts w:ascii="Century Gothic" w:hAnsi="Century Gothic" w:cs="Calibri"/>
          <w:bCs/>
          <w:color w:val="000000" w:themeColor="text1"/>
          <w:lang w:val="en-US"/>
        </w:rPr>
        <w:t xml:space="preserve">or sub groups </w:t>
      </w:r>
      <w:r w:rsidR="00CF46BF" w:rsidRPr="00170E64">
        <w:rPr>
          <w:rFonts w:ascii="Century Gothic" w:hAnsi="Century Gothic" w:cs="Calibri"/>
          <w:bCs/>
          <w:color w:val="000000" w:themeColor="text1"/>
          <w:lang w:val="en-US"/>
        </w:rPr>
        <w:t xml:space="preserve">within each TAF can be scheduled on an ad hoc basis to </w:t>
      </w:r>
      <w:r w:rsidR="0093017F">
        <w:rPr>
          <w:rFonts w:ascii="Century Gothic" w:hAnsi="Century Gothic" w:cs="Calibri"/>
          <w:bCs/>
          <w:color w:val="000000" w:themeColor="text1"/>
          <w:lang w:val="en-US"/>
        </w:rPr>
        <w:t>carry out the functions of a T</w:t>
      </w:r>
      <w:r w:rsidR="00E52414">
        <w:rPr>
          <w:rFonts w:ascii="Century Gothic" w:hAnsi="Century Gothic" w:cs="Calibri"/>
          <w:bCs/>
          <w:color w:val="000000" w:themeColor="text1"/>
          <w:lang w:val="en-US"/>
        </w:rPr>
        <w:t>A</w:t>
      </w:r>
      <w:r w:rsidR="0093017F">
        <w:rPr>
          <w:rFonts w:ascii="Century Gothic" w:hAnsi="Century Gothic" w:cs="Calibri"/>
          <w:bCs/>
          <w:color w:val="000000" w:themeColor="text1"/>
          <w:lang w:val="en-US"/>
        </w:rPr>
        <w:t xml:space="preserve">F. </w:t>
      </w:r>
      <w:r w:rsidR="00CF46BF" w:rsidRPr="00170E64">
        <w:rPr>
          <w:rFonts w:ascii="Century Gothic" w:hAnsi="Century Gothic" w:cs="Calibri"/>
          <w:bCs/>
          <w:color w:val="000000" w:themeColor="text1"/>
          <w:lang w:val="en-US"/>
        </w:rPr>
        <w:t xml:space="preserve"> </w:t>
      </w:r>
    </w:p>
    <w:p w14:paraId="63B999F5" w14:textId="77777777" w:rsidR="0093017F" w:rsidRDefault="003769AD" w:rsidP="003769AD">
      <w:pPr>
        <w:jc w:val="both"/>
        <w:rPr>
          <w:rFonts w:ascii="Century Gothic" w:hAnsi="Century Gothic" w:cs="Calibri"/>
          <w:bCs/>
          <w:color w:val="000000" w:themeColor="text1"/>
          <w:lang w:val="en-US"/>
        </w:rPr>
      </w:pPr>
      <w:r w:rsidRPr="00170E64">
        <w:rPr>
          <w:rFonts w:ascii="Century Gothic" w:hAnsi="Century Gothic" w:cs="Calibri"/>
          <w:bCs/>
          <w:color w:val="000000" w:themeColor="text1"/>
          <w:u w:val="single"/>
          <w:lang w:val="en-US"/>
        </w:rPr>
        <w:t>e</w:t>
      </w:r>
      <w:r w:rsidR="0093017F">
        <w:rPr>
          <w:rFonts w:ascii="Century Gothic" w:hAnsi="Century Gothic" w:cs="Calibri"/>
          <w:bCs/>
          <w:color w:val="000000" w:themeColor="text1"/>
          <w:u w:val="single"/>
          <w:lang w:val="en-US"/>
        </w:rPr>
        <w:t>-</w:t>
      </w:r>
      <w:r w:rsidRPr="00170E64">
        <w:rPr>
          <w:rFonts w:ascii="Century Gothic" w:hAnsi="Century Gothic" w:cs="Calibri"/>
          <w:bCs/>
          <w:color w:val="000000" w:themeColor="text1"/>
          <w:u w:val="single"/>
          <w:lang w:val="en-US"/>
        </w:rPr>
        <w:t>TAF</w:t>
      </w:r>
      <w:r w:rsidRPr="00170E64">
        <w:rPr>
          <w:rFonts w:ascii="Century Gothic" w:hAnsi="Century Gothic" w:cs="Calibri"/>
          <w:bCs/>
          <w:color w:val="000000" w:themeColor="text1"/>
          <w:lang w:val="en-US"/>
        </w:rPr>
        <w:t xml:space="preserve">: All TAF processes will be managed through </w:t>
      </w:r>
      <w:r w:rsidR="0093017F">
        <w:rPr>
          <w:rFonts w:ascii="Century Gothic" w:hAnsi="Century Gothic" w:cs="Calibri"/>
          <w:bCs/>
          <w:color w:val="000000" w:themeColor="text1"/>
          <w:lang w:val="en-US"/>
        </w:rPr>
        <w:t>e-</w:t>
      </w:r>
      <w:r w:rsidR="003A73AD">
        <w:rPr>
          <w:rFonts w:ascii="Century Gothic" w:hAnsi="Century Gothic" w:cs="Calibri"/>
          <w:bCs/>
          <w:color w:val="000000" w:themeColor="text1"/>
          <w:lang w:val="en-US"/>
        </w:rPr>
        <w:t>b</w:t>
      </w:r>
      <w:r w:rsidR="0093017F">
        <w:rPr>
          <w:rFonts w:ascii="Century Gothic" w:hAnsi="Century Gothic" w:cs="Calibri"/>
          <w:bCs/>
          <w:color w:val="000000" w:themeColor="text1"/>
          <w:lang w:val="en-US"/>
        </w:rPr>
        <w:t xml:space="preserve">ased processes </w:t>
      </w:r>
      <w:r w:rsidRPr="00170E64">
        <w:rPr>
          <w:rFonts w:ascii="Century Gothic" w:hAnsi="Century Gothic" w:cs="Calibri"/>
          <w:bCs/>
          <w:color w:val="000000" w:themeColor="text1"/>
          <w:lang w:val="en-US"/>
        </w:rPr>
        <w:t>to minimize operational costs related to TAF</w:t>
      </w:r>
      <w:r w:rsidR="0011067C" w:rsidRPr="00170E64">
        <w:rPr>
          <w:rFonts w:ascii="Century Gothic" w:hAnsi="Century Gothic" w:cs="Calibri"/>
          <w:bCs/>
          <w:color w:val="000000" w:themeColor="text1"/>
          <w:lang w:val="en-US"/>
        </w:rPr>
        <w:t xml:space="preserve">s. </w:t>
      </w:r>
      <w:r w:rsidRPr="00170E64">
        <w:rPr>
          <w:rFonts w:ascii="Century Gothic" w:hAnsi="Century Gothic" w:cs="Calibri"/>
          <w:bCs/>
          <w:color w:val="000000" w:themeColor="text1"/>
          <w:lang w:val="en-US"/>
        </w:rPr>
        <w:t>Members of each TAF</w:t>
      </w:r>
      <w:r w:rsidR="001055AC" w:rsidRPr="00170E64">
        <w:rPr>
          <w:rFonts w:ascii="Century Gothic" w:hAnsi="Century Gothic" w:cs="Calibri"/>
          <w:bCs/>
          <w:color w:val="000000" w:themeColor="text1"/>
          <w:lang w:val="en-US"/>
        </w:rPr>
        <w:t xml:space="preserve"> and their proxies </w:t>
      </w:r>
      <w:r w:rsidR="00CF46BF" w:rsidRPr="00170E64">
        <w:rPr>
          <w:rFonts w:ascii="Century Gothic" w:hAnsi="Century Gothic" w:cs="Calibri"/>
          <w:bCs/>
          <w:color w:val="000000" w:themeColor="text1"/>
          <w:lang w:val="en-US"/>
        </w:rPr>
        <w:t xml:space="preserve">must therefore </w:t>
      </w:r>
      <w:r w:rsidR="0093017F">
        <w:rPr>
          <w:rFonts w:ascii="Century Gothic" w:hAnsi="Century Gothic" w:cs="Calibri"/>
          <w:bCs/>
          <w:color w:val="000000" w:themeColor="text1"/>
          <w:lang w:val="en-US"/>
        </w:rPr>
        <w:t>ensure the</w:t>
      </w:r>
      <w:r w:rsidR="00E52414">
        <w:rPr>
          <w:rFonts w:ascii="Century Gothic" w:hAnsi="Century Gothic" w:cs="Calibri"/>
          <w:bCs/>
          <w:color w:val="000000" w:themeColor="text1"/>
          <w:lang w:val="en-US"/>
        </w:rPr>
        <w:t>y</w:t>
      </w:r>
      <w:r w:rsidR="0093017F">
        <w:rPr>
          <w:rFonts w:ascii="Century Gothic" w:hAnsi="Century Gothic" w:cs="Calibri"/>
          <w:bCs/>
          <w:color w:val="000000" w:themeColor="text1"/>
          <w:lang w:val="en-US"/>
        </w:rPr>
        <w:t xml:space="preserve"> maintain current email addresses with secretariat and register on any relevant web based portal that a TAF may utilize. </w:t>
      </w:r>
    </w:p>
    <w:p w14:paraId="62543F9E" w14:textId="77777777" w:rsidR="00187C9D" w:rsidRPr="00170E64" w:rsidRDefault="00187C9D" w:rsidP="00187C9D">
      <w:pPr>
        <w:pStyle w:val="ListParagraph"/>
        <w:spacing w:after="0" w:line="240" w:lineRule="auto"/>
        <w:jc w:val="both"/>
        <w:rPr>
          <w:rFonts w:ascii="Century Gothic" w:hAnsi="Century Gothic"/>
          <w:bCs/>
          <w:color w:val="000000" w:themeColor="text1"/>
        </w:rPr>
      </w:pPr>
    </w:p>
    <w:p w14:paraId="43954DAC" w14:textId="77777777" w:rsidR="008A79DC" w:rsidRPr="00170E64" w:rsidRDefault="008A79DC" w:rsidP="003769AD">
      <w:pPr>
        <w:rPr>
          <w:color w:val="000000" w:themeColor="text1"/>
        </w:rPr>
      </w:pPr>
    </w:p>
    <w:sectPr w:rsidR="008A79DC" w:rsidRPr="00170E64" w:rsidSect="0061292F">
      <w:footerReference w:type="default" r:id="rId12"/>
      <w:headerReference w:type="first" r:id="rId13"/>
      <w:footerReference w:type="first" r:id="rId14"/>
      <w:pgSz w:w="11906" w:h="16838"/>
      <w:pgMar w:top="1526" w:right="849" w:bottom="1440" w:left="1440" w:header="709"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AD56C" w14:textId="77777777" w:rsidR="00E776C1" w:rsidRDefault="00E776C1" w:rsidP="00C95D41">
      <w:pPr>
        <w:spacing w:after="0" w:line="240" w:lineRule="auto"/>
      </w:pPr>
      <w:r>
        <w:separator/>
      </w:r>
    </w:p>
  </w:endnote>
  <w:endnote w:type="continuationSeparator" w:id="0">
    <w:p w14:paraId="79E8BDA4" w14:textId="77777777" w:rsidR="00E776C1" w:rsidRDefault="00E776C1"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2000603030000020004"/>
    <w:charset w:val="00"/>
    <w:family w:val="auto"/>
    <w:pitch w:val="variable"/>
    <w:sig w:usb0="A00000A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B146" w14:textId="506611E0" w:rsidR="0061292F" w:rsidRDefault="006A45B8">
    <w:pPr>
      <w:pStyle w:val="Footer"/>
      <w:pBdr>
        <w:top w:val="single" w:sz="4" w:space="1" w:color="D9D9D9" w:themeColor="background1" w:themeShade="D9"/>
      </w:pBdr>
      <w:jc w:val="right"/>
    </w:pPr>
    <w:r>
      <w:t xml:space="preserve">AGC TAF </w:t>
    </w:r>
    <w:r w:rsidR="0061292F">
      <w:t xml:space="preserve">Guideline </w:t>
    </w:r>
    <w:r w:rsidR="009E7CFC">
      <w:t>1</w:t>
    </w:r>
    <w:r w:rsidR="002C6B37">
      <w:t>6 August</w:t>
    </w:r>
    <w:r w:rsidR="009E7CFC">
      <w:t xml:space="preserve"> 2017</w:t>
    </w:r>
    <w:r w:rsidR="0061292F">
      <w:t xml:space="preserve">                                                  </w:t>
    </w:r>
    <w:sdt>
      <w:sdtPr>
        <w:id w:val="-26017638"/>
        <w:docPartObj>
          <w:docPartGallery w:val="Page Numbers (Bottom of Page)"/>
          <w:docPartUnique/>
        </w:docPartObj>
      </w:sdtPr>
      <w:sdtEndPr>
        <w:rPr>
          <w:color w:val="7F7F7F" w:themeColor="background1" w:themeShade="7F"/>
          <w:spacing w:val="60"/>
        </w:rPr>
      </w:sdtEndPr>
      <w:sdtContent>
        <w:r w:rsidR="0061292F">
          <w:fldChar w:fldCharType="begin"/>
        </w:r>
        <w:r w:rsidR="0061292F">
          <w:instrText xml:space="preserve"> PAGE   \* MERGEFORMAT </w:instrText>
        </w:r>
        <w:r w:rsidR="0061292F">
          <w:fldChar w:fldCharType="separate"/>
        </w:r>
        <w:r w:rsidR="00BA406E">
          <w:rPr>
            <w:noProof/>
          </w:rPr>
          <w:t>3</w:t>
        </w:r>
        <w:r w:rsidR="0061292F">
          <w:rPr>
            <w:noProof/>
          </w:rPr>
          <w:fldChar w:fldCharType="end"/>
        </w:r>
        <w:r w:rsidR="0061292F">
          <w:t xml:space="preserve"> | </w:t>
        </w:r>
        <w:r w:rsidR="0061292F">
          <w:rPr>
            <w:color w:val="7F7F7F" w:themeColor="background1" w:themeShade="7F"/>
            <w:spacing w:val="60"/>
          </w:rPr>
          <w:t>Page</w:t>
        </w:r>
      </w:sdtContent>
    </w:sdt>
  </w:p>
  <w:p w14:paraId="11EC82DB" w14:textId="77777777" w:rsidR="0061292F" w:rsidRDefault="00612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232813"/>
      <w:docPartObj>
        <w:docPartGallery w:val="Page Numbers (Bottom of Page)"/>
        <w:docPartUnique/>
      </w:docPartObj>
    </w:sdtPr>
    <w:sdtEndPr>
      <w:rPr>
        <w:color w:val="7F7F7F" w:themeColor="background1" w:themeShade="7F"/>
        <w:spacing w:val="60"/>
      </w:rPr>
    </w:sdtEndPr>
    <w:sdtContent>
      <w:p w14:paraId="432F240D" w14:textId="77777777" w:rsidR="0061292F" w:rsidRDefault="0061292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286F060" w14:textId="77777777" w:rsidR="00C95D41" w:rsidRDefault="00C95D41" w:rsidP="00F5366B">
    <w:pPr>
      <w:pStyle w:val="BasicParagraph"/>
      <w:spacing w:line="276"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62A51" w14:textId="77777777" w:rsidR="00E776C1" w:rsidRDefault="00E776C1" w:rsidP="00C95D41">
      <w:pPr>
        <w:spacing w:after="0" w:line="240" w:lineRule="auto"/>
      </w:pPr>
      <w:r>
        <w:separator/>
      </w:r>
    </w:p>
  </w:footnote>
  <w:footnote w:type="continuationSeparator" w:id="0">
    <w:p w14:paraId="37630FCB" w14:textId="77777777" w:rsidR="00E776C1" w:rsidRDefault="00E776C1" w:rsidP="00C95D41">
      <w:pPr>
        <w:spacing w:after="0" w:line="240" w:lineRule="auto"/>
      </w:pPr>
      <w:r>
        <w:continuationSeparator/>
      </w:r>
    </w:p>
  </w:footnote>
  <w:footnote w:id="1">
    <w:p w14:paraId="5DBDBC02" w14:textId="77777777" w:rsidR="003769AD" w:rsidRPr="00774813" w:rsidRDefault="003769AD" w:rsidP="003769AD">
      <w:pPr>
        <w:pStyle w:val="FootnoteText"/>
        <w:rPr>
          <w:rFonts w:ascii="Century Gothic" w:hAnsi="Century Gothic"/>
        </w:rPr>
      </w:pPr>
      <w:r>
        <w:rPr>
          <w:rStyle w:val="FootnoteReference"/>
        </w:rPr>
        <w:footnoteRef/>
      </w:r>
      <w:r>
        <w:t xml:space="preserve"> </w:t>
      </w:r>
      <w:proofErr w:type="spellStart"/>
      <w:r w:rsidRPr="00774813">
        <w:rPr>
          <w:rFonts w:ascii="Century Gothic" w:hAnsi="Century Gothic"/>
          <w:sz w:val="16"/>
          <w:szCs w:val="16"/>
        </w:rPr>
        <w:t>Mieschbuehler</w:t>
      </w:r>
      <w:proofErr w:type="spellEnd"/>
      <w:r w:rsidRPr="00774813">
        <w:rPr>
          <w:rFonts w:ascii="Century Gothic" w:hAnsi="Century Gothic"/>
          <w:sz w:val="16"/>
          <w:szCs w:val="16"/>
        </w:rPr>
        <w:t xml:space="preserve">, R. and Hooley, </w:t>
      </w:r>
      <w:proofErr w:type="gramStart"/>
      <w:r w:rsidRPr="00774813">
        <w:rPr>
          <w:rFonts w:ascii="Century Gothic" w:hAnsi="Century Gothic"/>
          <w:sz w:val="16"/>
          <w:szCs w:val="16"/>
        </w:rPr>
        <w:t>T.(</w:t>
      </w:r>
      <w:proofErr w:type="gramEnd"/>
      <w:r w:rsidRPr="00774813">
        <w:rPr>
          <w:rFonts w:ascii="Century Gothic" w:hAnsi="Century Gothic"/>
          <w:sz w:val="16"/>
          <w:szCs w:val="16"/>
        </w:rPr>
        <w:t xml:space="preserve">2016) </w:t>
      </w:r>
      <w:r w:rsidRPr="00F379BB">
        <w:rPr>
          <w:rFonts w:ascii="Century Gothic" w:hAnsi="Century Gothic"/>
          <w:i/>
          <w:sz w:val="16"/>
          <w:szCs w:val="16"/>
        </w:rPr>
        <w:t>World Class Apprenticeship Standards: Report and Recommendations</w:t>
      </w:r>
      <w:r>
        <w:rPr>
          <w:rFonts w:ascii="Century Gothic" w:hAnsi="Century Gothic"/>
          <w:i/>
          <w:sz w:val="16"/>
          <w:szCs w:val="16"/>
        </w:rPr>
        <w:t>.</w:t>
      </w:r>
      <w:r w:rsidRPr="00774813">
        <w:rPr>
          <w:rFonts w:ascii="Century Gothic" w:hAnsi="Century Gothic"/>
          <w:sz w:val="16"/>
          <w:szCs w:val="16"/>
        </w:rPr>
        <w:t xml:space="preserve"> Derby and London: International Centre for Guidance Studies (</w:t>
      </w:r>
      <w:proofErr w:type="spellStart"/>
      <w:r w:rsidRPr="00774813">
        <w:rPr>
          <w:rFonts w:ascii="Century Gothic" w:hAnsi="Century Gothic"/>
          <w:sz w:val="16"/>
          <w:szCs w:val="16"/>
        </w:rPr>
        <w:t>iCeGS</w:t>
      </w:r>
      <w:proofErr w:type="spellEnd"/>
      <w:r w:rsidRPr="00774813">
        <w:rPr>
          <w:rFonts w:ascii="Century Gothic" w:hAnsi="Century Gothic"/>
          <w:sz w:val="16"/>
          <w:szCs w:val="16"/>
        </w:rPr>
        <w:t xml:space="preserve">), University of Derby </w:t>
      </w:r>
      <w:proofErr w:type="gramStart"/>
      <w:r w:rsidRPr="00774813">
        <w:rPr>
          <w:rFonts w:ascii="Century Gothic" w:hAnsi="Century Gothic"/>
          <w:sz w:val="16"/>
          <w:szCs w:val="16"/>
        </w:rPr>
        <w:t>and  Pearson</w:t>
      </w:r>
      <w:proofErr w:type="gramEnd"/>
      <w:r w:rsidRPr="00774813">
        <w:rPr>
          <w:rFonts w:ascii="Century Gothic" w:hAnsi="Century Gothic"/>
          <w:sz w:val="16"/>
          <w:szCs w:val="16"/>
        </w:rPr>
        <w:t xml:space="preserve"> Education UK.</w:t>
      </w:r>
    </w:p>
  </w:footnote>
  <w:footnote w:id="2">
    <w:p w14:paraId="52E28526" w14:textId="77777777" w:rsidR="003769AD" w:rsidRPr="00F379BB" w:rsidRDefault="003769AD" w:rsidP="003769AD">
      <w:pPr>
        <w:pStyle w:val="FootnoteText"/>
        <w:rPr>
          <w:rFonts w:ascii="Century Gothic" w:hAnsi="Century Gothic"/>
          <w:i/>
          <w:sz w:val="16"/>
          <w:szCs w:val="16"/>
        </w:rPr>
      </w:pPr>
      <w:r w:rsidRPr="00F379BB">
        <w:rPr>
          <w:rStyle w:val="FootnoteReference"/>
          <w:rFonts w:ascii="Century Gothic" w:hAnsi="Century Gothic"/>
          <w:sz w:val="16"/>
          <w:szCs w:val="16"/>
        </w:rPr>
        <w:footnoteRef/>
      </w:r>
      <w:r w:rsidRPr="00F379BB">
        <w:rPr>
          <w:rFonts w:ascii="Century Gothic" w:hAnsi="Century Gothic"/>
          <w:sz w:val="16"/>
          <w:szCs w:val="16"/>
        </w:rPr>
        <w:t xml:space="preserve"> Vollenhoven, G. </w:t>
      </w:r>
      <w:r w:rsidRPr="00F379BB">
        <w:rPr>
          <w:rFonts w:ascii="Century Gothic" w:hAnsi="Century Gothic"/>
          <w:i/>
          <w:sz w:val="16"/>
          <w:szCs w:val="16"/>
        </w:rPr>
        <w:t xml:space="preserve">Workplace learning experiences of TVET College candidates in </w:t>
      </w:r>
      <w:proofErr w:type="spellStart"/>
      <w:r w:rsidRPr="00F379BB">
        <w:rPr>
          <w:rFonts w:ascii="Century Gothic" w:hAnsi="Century Gothic"/>
          <w:i/>
          <w:sz w:val="16"/>
          <w:szCs w:val="16"/>
        </w:rPr>
        <w:t>learnership</w:t>
      </w:r>
      <w:proofErr w:type="spellEnd"/>
      <w:r w:rsidRPr="00F379BB">
        <w:rPr>
          <w:rFonts w:ascii="Century Gothic" w:hAnsi="Century Gothic"/>
          <w:i/>
          <w:sz w:val="16"/>
          <w:szCs w:val="16"/>
        </w:rPr>
        <w:t xml:space="preserve"> programmes: An </w:t>
      </w:r>
    </w:p>
    <w:p w14:paraId="571AD646" w14:textId="77777777" w:rsidR="003769AD" w:rsidRPr="00F379BB" w:rsidRDefault="003769AD" w:rsidP="003769AD">
      <w:pPr>
        <w:pStyle w:val="FootnoteText"/>
        <w:rPr>
          <w:rFonts w:ascii="Century Gothic" w:hAnsi="Century Gothic"/>
          <w:sz w:val="16"/>
          <w:szCs w:val="16"/>
        </w:rPr>
      </w:pPr>
      <w:r w:rsidRPr="00F379BB">
        <w:rPr>
          <w:rFonts w:ascii="Century Gothic" w:hAnsi="Century Gothic"/>
          <w:i/>
          <w:sz w:val="16"/>
          <w:szCs w:val="16"/>
        </w:rPr>
        <w:t>exploration of the workplace learning environment.</w:t>
      </w:r>
      <w:r w:rsidRPr="00F379BB">
        <w:rPr>
          <w:rFonts w:ascii="Century Gothic" w:hAnsi="Century Gothic"/>
          <w:sz w:val="16"/>
          <w:szCs w:val="16"/>
        </w:rPr>
        <w:t xml:space="preserve"> March 2016. University of the Western Cape.     </w:t>
      </w:r>
    </w:p>
    <w:p w14:paraId="3B9B229B" w14:textId="77777777" w:rsidR="003769AD" w:rsidRDefault="003769AD" w:rsidP="003769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6FCD0" w14:textId="77777777" w:rsidR="00C95D41" w:rsidRDefault="00EA6117" w:rsidP="00C95D41">
    <w:pPr>
      <w:pStyle w:val="Header"/>
      <w:tabs>
        <w:tab w:val="clear" w:pos="4513"/>
        <w:tab w:val="clear" w:pos="9026"/>
        <w:tab w:val="left" w:pos="5820"/>
      </w:tabs>
    </w:pPr>
    <w:r>
      <w:rPr>
        <w:noProof/>
        <w:lang w:eastAsia="en-ZA"/>
      </w:rPr>
      <w:drawing>
        <wp:anchor distT="0" distB="0" distL="114300" distR="114300" simplePos="0" relativeHeight="251658240" behindDoc="1" locked="0" layoutInCell="1" allowOverlap="1" wp14:anchorId="50D65033" wp14:editId="48CF8F6A">
          <wp:simplePos x="0" y="0"/>
          <wp:positionH relativeFrom="column">
            <wp:posOffset>-914400</wp:posOffset>
          </wp:positionH>
          <wp:positionV relativeFrom="paragraph">
            <wp:posOffset>-459740</wp:posOffset>
          </wp:positionV>
          <wp:extent cx="7572375" cy="107109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AT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950" cy="10713159"/>
                  </a:xfrm>
                  <a:prstGeom prst="rect">
                    <a:avLst/>
                  </a:prstGeom>
                </pic:spPr>
              </pic:pic>
            </a:graphicData>
          </a:graphic>
          <wp14:sizeRelH relativeFrom="page">
            <wp14:pctWidth>0</wp14:pctWidth>
          </wp14:sizeRelH>
          <wp14:sizeRelV relativeFrom="page">
            <wp14:pctHeight>0</wp14:pctHeight>
          </wp14:sizeRelV>
        </wp:anchor>
      </w:drawing>
    </w:r>
    <w:r w:rsidR="00C95D41">
      <w:tab/>
    </w:r>
  </w:p>
  <w:p w14:paraId="720D9E83" w14:textId="77777777" w:rsidR="00574191" w:rsidRDefault="00574191" w:rsidP="00C95D41">
    <w:pPr>
      <w:pStyle w:val="Header"/>
      <w:tabs>
        <w:tab w:val="clear" w:pos="4513"/>
        <w:tab w:val="clear" w:pos="9026"/>
        <w:tab w:val="left" w:pos="5820"/>
      </w:tabs>
      <w:jc w:val="right"/>
      <w:rPr>
        <w:rFonts w:ascii="Century Gothic" w:hAnsi="Century Gothic"/>
        <w:color w:val="1F497D" w:themeColor="text2"/>
        <w:sz w:val="20"/>
        <w:szCs w:val="20"/>
      </w:rPr>
    </w:pPr>
  </w:p>
  <w:p w14:paraId="0F86F776" w14:textId="77777777" w:rsidR="00A43182" w:rsidRDefault="00A43182" w:rsidP="00C95D41">
    <w:pPr>
      <w:pStyle w:val="Header"/>
      <w:tabs>
        <w:tab w:val="clear" w:pos="4513"/>
        <w:tab w:val="clear" w:pos="9026"/>
        <w:tab w:val="left" w:pos="5820"/>
      </w:tabs>
      <w:jc w:val="right"/>
      <w:rPr>
        <w:rFonts w:ascii="Century Gothic" w:hAnsi="Century Gothic"/>
        <w:color w:val="1F497D" w:themeColor="text2"/>
        <w:sz w:val="20"/>
        <w:szCs w:val="20"/>
      </w:rPr>
    </w:pPr>
  </w:p>
  <w:p w14:paraId="47D024B0" w14:textId="77777777" w:rsidR="00A43182" w:rsidRDefault="00A43182" w:rsidP="00C95D41">
    <w:pPr>
      <w:pStyle w:val="Header"/>
      <w:tabs>
        <w:tab w:val="clear" w:pos="4513"/>
        <w:tab w:val="clear" w:pos="9026"/>
        <w:tab w:val="left" w:pos="5820"/>
      </w:tabs>
      <w:jc w:val="right"/>
      <w:rPr>
        <w:rFonts w:ascii="Century Gothic" w:hAnsi="Century Gothic"/>
        <w:color w:val="1F497D" w:themeColor="text2"/>
        <w:sz w:val="20"/>
        <w:szCs w:val="20"/>
      </w:rPr>
    </w:pPr>
  </w:p>
  <w:p w14:paraId="171C3DF8" w14:textId="77777777" w:rsidR="00A43182" w:rsidRDefault="00A43182" w:rsidP="00C95D41">
    <w:pPr>
      <w:pStyle w:val="Header"/>
      <w:tabs>
        <w:tab w:val="clear" w:pos="4513"/>
        <w:tab w:val="clear" w:pos="9026"/>
        <w:tab w:val="left" w:pos="5820"/>
      </w:tabs>
      <w:jc w:val="right"/>
      <w:rPr>
        <w:rFonts w:ascii="Century Gothic" w:hAnsi="Century Gothic"/>
        <w:color w:val="1F497D" w:themeColor="text2"/>
        <w:sz w:val="20"/>
        <w:szCs w:val="20"/>
      </w:rPr>
    </w:pPr>
  </w:p>
  <w:p w14:paraId="31821841" w14:textId="77777777" w:rsidR="00A43182" w:rsidRDefault="00A43182" w:rsidP="00C95D41">
    <w:pPr>
      <w:pStyle w:val="Header"/>
      <w:tabs>
        <w:tab w:val="clear" w:pos="4513"/>
        <w:tab w:val="clear" w:pos="9026"/>
        <w:tab w:val="left" w:pos="5820"/>
      </w:tabs>
      <w:jc w:val="right"/>
      <w:rPr>
        <w:rFonts w:ascii="Century Gothic" w:hAnsi="Century Gothic"/>
        <w:color w:val="1F497D" w:themeColor="text2"/>
        <w:sz w:val="20"/>
        <w:szCs w:val="20"/>
      </w:rPr>
    </w:pPr>
  </w:p>
  <w:p w14:paraId="66E94230" w14:textId="77777777" w:rsidR="00A43182" w:rsidRDefault="00A43182" w:rsidP="00C95D41">
    <w:pPr>
      <w:pStyle w:val="Header"/>
      <w:tabs>
        <w:tab w:val="clear" w:pos="4513"/>
        <w:tab w:val="clear" w:pos="9026"/>
        <w:tab w:val="left" w:pos="5820"/>
      </w:tabs>
      <w:jc w:val="right"/>
      <w:rPr>
        <w:rFonts w:ascii="Century Gothic" w:hAnsi="Century Gothic"/>
        <w:color w:val="1F497D" w:themeColor="text2"/>
        <w:sz w:val="20"/>
        <w:szCs w:val="20"/>
      </w:rPr>
    </w:pPr>
  </w:p>
  <w:p w14:paraId="1D9D1DB5" w14:textId="77777777" w:rsidR="00A43182" w:rsidRDefault="00A43182" w:rsidP="00C95D41">
    <w:pPr>
      <w:pStyle w:val="Header"/>
      <w:tabs>
        <w:tab w:val="clear" w:pos="4513"/>
        <w:tab w:val="clear" w:pos="9026"/>
        <w:tab w:val="left" w:pos="5820"/>
      </w:tabs>
      <w:jc w:val="right"/>
      <w:rPr>
        <w:rFonts w:ascii="Century Gothic" w:hAnsi="Century Gothic"/>
        <w:color w:val="1F497D" w:themeColor="text2"/>
        <w:sz w:val="20"/>
        <w:szCs w:val="20"/>
      </w:rPr>
    </w:pPr>
  </w:p>
  <w:p w14:paraId="2F895C4E" w14:textId="77777777" w:rsidR="00A43182" w:rsidRDefault="00A43182" w:rsidP="00C95D41">
    <w:pPr>
      <w:pStyle w:val="Header"/>
      <w:tabs>
        <w:tab w:val="clear" w:pos="4513"/>
        <w:tab w:val="clear" w:pos="9026"/>
        <w:tab w:val="left" w:pos="5820"/>
      </w:tabs>
      <w:jc w:val="right"/>
      <w:rPr>
        <w:rFonts w:ascii="Century Gothic" w:hAnsi="Century Gothic"/>
        <w:color w:val="1F497D" w:themeColor="text2"/>
        <w:sz w:val="20"/>
        <w:szCs w:val="20"/>
      </w:rPr>
    </w:pPr>
  </w:p>
  <w:p w14:paraId="43A6F4FA" w14:textId="77777777" w:rsidR="00A43182" w:rsidRDefault="00A43182" w:rsidP="00C95D41">
    <w:pPr>
      <w:pStyle w:val="Header"/>
      <w:tabs>
        <w:tab w:val="clear" w:pos="4513"/>
        <w:tab w:val="clear" w:pos="9026"/>
        <w:tab w:val="left" w:pos="5820"/>
      </w:tabs>
      <w:jc w:val="right"/>
      <w:rPr>
        <w:rFonts w:ascii="Century Gothic" w:hAnsi="Century Gothic"/>
        <w:color w:val="1F497D" w:themeColor="text2"/>
        <w:sz w:val="20"/>
        <w:szCs w:val="20"/>
      </w:rPr>
    </w:pPr>
  </w:p>
  <w:p w14:paraId="7710F016" w14:textId="77777777" w:rsidR="00A43182" w:rsidRDefault="00A43182" w:rsidP="00C95D41">
    <w:pPr>
      <w:pStyle w:val="Header"/>
      <w:tabs>
        <w:tab w:val="clear" w:pos="4513"/>
        <w:tab w:val="clear" w:pos="9026"/>
        <w:tab w:val="left" w:pos="5820"/>
      </w:tabs>
      <w:jc w:val="right"/>
      <w:rPr>
        <w:rFonts w:ascii="Century Gothic" w:hAnsi="Century Gothic"/>
        <w:color w:val="1F497D" w:themeColor="text2"/>
        <w:sz w:val="20"/>
        <w:szCs w:val="20"/>
      </w:rPr>
    </w:pPr>
  </w:p>
  <w:p w14:paraId="5FD770F4" w14:textId="77777777" w:rsidR="00A43182" w:rsidRDefault="00A43182" w:rsidP="00C95D41">
    <w:pPr>
      <w:pStyle w:val="Header"/>
      <w:tabs>
        <w:tab w:val="clear" w:pos="4513"/>
        <w:tab w:val="clear" w:pos="9026"/>
        <w:tab w:val="left" w:pos="5820"/>
      </w:tabs>
      <w:jc w:val="right"/>
      <w:rPr>
        <w:rFonts w:ascii="Century Gothic" w:hAnsi="Century Gothic"/>
        <w:color w:val="1F497D" w:themeColor="text2"/>
        <w:sz w:val="20"/>
        <w:szCs w:val="20"/>
      </w:rPr>
    </w:pPr>
  </w:p>
  <w:p w14:paraId="67152F4F" w14:textId="77777777" w:rsidR="00C95D41" w:rsidRDefault="00C95D41" w:rsidP="00C95D41">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BC0"/>
    <w:multiLevelType w:val="hybridMultilevel"/>
    <w:tmpl w:val="AB5A21EE"/>
    <w:lvl w:ilvl="0" w:tplc="23700CA2">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F37D04"/>
    <w:multiLevelType w:val="hybridMultilevel"/>
    <w:tmpl w:val="B3B01D04"/>
    <w:lvl w:ilvl="0" w:tplc="5BAEB644">
      <w:start w:val="1"/>
      <w:numFmt w:val="bullet"/>
      <w:lvlText w:val=""/>
      <w:lvlJc w:val="left"/>
      <w:pPr>
        <w:ind w:left="784" w:hanging="360"/>
      </w:pPr>
      <w:rPr>
        <w:rFonts w:ascii="Wingdings" w:hAnsi="Wingdings" w:hint="default"/>
        <w:color w:val="auto"/>
      </w:rPr>
    </w:lvl>
    <w:lvl w:ilvl="1" w:tplc="1C090003">
      <w:start w:val="1"/>
      <w:numFmt w:val="bullet"/>
      <w:lvlText w:val="o"/>
      <w:lvlJc w:val="left"/>
      <w:pPr>
        <w:ind w:left="1504" w:hanging="360"/>
      </w:pPr>
      <w:rPr>
        <w:rFonts w:ascii="Courier New" w:hAnsi="Courier New" w:cs="Courier New" w:hint="default"/>
      </w:rPr>
    </w:lvl>
    <w:lvl w:ilvl="2" w:tplc="1C090005">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2" w15:restartNumberingAfterBreak="0">
    <w:nsid w:val="1E6C4696"/>
    <w:multiLevelType w:val="hybridMultilevel"/>
    <w:tmpl w:val="AB5A21EE"/>
    <w:lvl w:ilvl="0" w:tplc="23700CA2">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06B57E2"/>
    <w:multiLevelType w:val="hybridMultilevel"/>
    <w:tmpl w:val="467EA2B8"/>
    <w:lvl w:ilvl="0" w:tplc="5BAEB644">
      <w:start w:val="1"/>
      <w:numFmt w:val="bullet"/>
      <w:lvlText w:val=""/>
      <w:lvlJc w:val="left"/>
      <w:pPr>
        <w:ind w:left="784" w:hanging="360"/>
      </w:pPr>
      <w:rPr>
        <w:rFonts w:ascii="Wingdings" w:hAnsi="Wingdings" w:hint="default"/>
        <w:color w:val="auto"/>
      </w:rPr>
    </w:lvl>
    <w:lvl w:ilvl="1" w:tplc="1C090003">
      <w:start w:val="1"/>
      <w:numFmt w:val="bullet"/>
      <w:lvlText w:val="o"/>
      <w:lvlJc w:val="left"/>
      <w:pPr>
        <w:ind w:left="1504" w:hanging="360"/>
      </w:pPr>
      <w:rPr>
        <w:rFonts w:ascii="Courier New" w:hAnsi="Courier New" w:cs="Courier New" w:hint="default"/>
      </w:rPr>
    </w:lvl>
    <w:lvl w:ilvl="2" w:tplc="1C090005">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4" w15:restartNumberingAfterBreak="0">
    <w:nsid w:val="2B726479"/>
    <w:multiLevelType w:val="hybridMultilevel"/>
    <w:tmpl w:val="AEEC13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FE7617"/>
    <w:multiLevelType w:val="hybridMultilevel"/>
    <w:tmpl w:val="3F5E441A"/>
    <w:lvl w:ilvl="0" w:tplc="FC8070B8">
      <w:start w:val="1"/>
      <w:numFmt w:val="bullet"/>
      <w:lvlText w:val="•"/>
      <w:lvlJc w:val="left"/>
      <w:pPr>
        <w:tabs>
          <w:tab w:val="num" w:pos="720"/>
        </w:tabs>
        <w:ind w:left="720" w:hanging="360"/>
      </w:pPr>
      <w:rPr>
        <w:rFonts w:ascii="Arial" w:hAnsi="Arial" w:hint="default"/>
      </w:rPr>
    </w:lvl>
    <w:lvl w:ilvl="1" w:tplc="B0D8E51C" w:tentative="1">
      <w:start w:val="1"/>
      <w:numFmt w:val="bullet"/>
      <w:lvlText w:val="•"/>
      <w:lvlJc w:val="left"/>
      <w:pPr>
        <w:tabs>
          <w:tab w:val="num" w:pos="1440"/>
        </w:tabs>
        <w:ind w:left="1440" w:hanging="360"/>
      </w:pPr>
      <w:rPr>
        <w:rFonts w:ascii="Arial" w:hAnsi="Arial" w:hint="default"/>
      </w:rPr>
    </w:lvl>
    <w:lvl w:ilvl="2" w:tplc="E1BC9136" w:tentative="1">
      <w:start w:val="1"/>
      <w:numFmt w:val="bullet"/>
      <w:lvlText w:val="•"/>
      <w:lvlJc w:val="left"/>
      <w:pPr>
        <w:tabs>
          <w:tab w:val="num" w:pos="2160"/>
        </w:tabs>
        <w:ind w:left="2160" w:hanging="360"/>
      </w:pPr>
      <w:rPr>
        <w:rFonts w:ascii="Arial" w:hAnsi="Arial" w:hint="default"/>
      </w:rPr>
    </w:lvl>
    <w:lvl w:ilvl="3" w:tplc="567E7C24" w:tentative="1">
      <w:start w:val="1"/>
      <w:numFmt w:val="bullet"/>
      <w:lvlText w:val="•"/>
      <w:lvlJc w:val="left"/>
      <w:pPr>
        <w:tabs>
          <w:tab w:val="num" w:pos="2880"/>
        </w:tabs>
        <w:ind w:left="2880" w:hanging="360"/>
      </w:pPr>
      <w:rPr>
        <w:rFonts w:ascii="Arial" w:hAnsi="Arial" w:hint="default"/>
      </w:rPr>
    </w:lvl>
    <w:lvl w:ilvl="4" w:tplc="05ECAC4A" w:tentative="1">
      <w:start w:val="1"/>
      <w:numFmt w:val="bullet"/>
      <w:lvlText w:val="•"/>
      <w:lvlJc w:val="left"/>
      <w:pPr>
        <w:tabs>
          <w:tab w:val="num" w:pos="3600"/>
        </w:tabs>
        <w:ind w:left="3600" w:hanging="360"/>
      </w:pPr>
      <w:rPr>
        <w:rFonts w:ascii="Arial" w:hAnsi="Arial" w:hint="default"/>
      </w:rPr>
    </w:lvl>
    <w:lvl w:ilvl="5" w:tplc="315607E4" w:tentative="1">
      <w:start w:val="1"/>
      <w:numFmt w:val="bullet"/>
      <w:lvlText w:val="•"/>
      <w:lvlJc w:val="left"/>
      <w:pPr>
        <w:tabs>
          <w:tab w:val="num" w:pos="4320"/>
        </w:tabs>
        <w:ind w:left="4320" w:hanging="360"/>
      </w:pPr>
      <w:rPr>
        <w:rFonts w:ascii="Arial" w:hAnsi="Arial" w:hint="default"/>
      </w:rPr>
    </w:lvl>
    <w:lvl w:ilvl="6" w:tplc="F1F4CAE8" w:tentative="1">
      <w:start w:val="1"/>
      <w:numFmt w:val="bullet"/>
      <w:lvlText w:val="•"/>
      <w:lvlJc w:val="left"/>
      <w:pPr>
        <w:tabs>
          <w:tab w:val="num" w:pos="5040"/>
        </w:tabs>
        <w:ind w:left="5040" w:hanging="360"/>
      </w:pPr>
      <w:rPr>
        <w:rFonts w:ascii="Arial" w:hAnsi="Arial" w:hint="default"/>
      </w:rPr>
    </w:lvl>
    <w:lvl w:ilvl="7" w:tplc="C13EE964" w:tentative="1">
      <w:start w:val="1"/>
      <w:numFmt w:val="bullet"/>
      <w:lvlText w:val="•"/>
      <w:lvlJc w:val="left"/>
      <w:pPr>
        <w:tabs>
          <w:tab w:val="num" w:pos="5760"/>
        </w:tabs>
        <w:ind w:left="5760" w:hanging="360"/>
      </w:pPr>
      <w:rPr>
        <w:rFonts w:ascii="Arial" w:hAnsi="Arial" w:hint="default"/>
      </w:rPr>
    </w:lvl>
    <w:lvl w:ilvl="8" w:tplc="28AA5A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E4A27"/>
    <w:multiLevelType w:val="hybridMultilevel"/>
    <w:tmpl w:val="DBCA504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760F64"/>
    <w:multiLevelType w:val="hybridMultilevel"/>
    <w:tmpl w:val="0496476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6B47D6"/>
    <w:multiLevelType w:val="hybridMultilevel"/>
    <w:tmpl w:val="55923AC8"/>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3464DE"/>
    <w:multiLevelType w:val="hybridMultilevel"/>
    <w:tmpl w:val="ECC84F5C"/>
    <w:lvl w:ilvl="0" w:tplc="DD3A90E4">
      <w:start w:val="1"/>
      <w:numFmt w:val="bullet"/>
      <w:lvlText w:val="•"/>
      <w:lvlJc w:val="left"/>
      <w:pPr>
        <w:tabs>
          <w:tab w:val="num" w:pos="1440"/>
        </w:tabs>
        <w:ind w:left="1440" w:hanging="360"/>
      </w:pPr>
      <w:rPr>
        <w:rFonts w:ascii="Arial" w:hAnsi="Arial" w:hint="default"/>
      </w:rPr>
    </w:lvl>
    <w:lvl w:ilvl="1" w:tplc="F5B6F960" w:tentative="1">
      <w:start w:val="1"/>
      <w:numFmt w:val="bullet"/>
      <w:lvlText w:val="•"/>
      <w:lvlJc w:val="left"/>
      <w:pPr>
        <w:tabs>
          <w:tab w:val="num" w:pos="2160"/>
        </w:tabs>
        <w:ind w:left="2160" w:hanging="360"/>
      </w:pPr>
      <w:rPr>
        <w:rFonts w:ascii="Arial" w:hAnsi="Arial" w:hint="default"/>
      </w:rPr>
    </w:lvl>
    <w:lvl w:ilvl="2" w:tplc="8D187040" w:tentative="1">
      <w:start w:val="1"/>
      <w:numFmt w:val="bullet"/>
      <w:lvlText w:val="•"/>
      <w:lvlJc w:val="left"/>
      <w:pPr>
        <w:tabs>
          <w:tab w:val="num" w:pos="2880"/>
        </w:tabs>
        <w:ind w:left="2880" w:hanging="360"/>
      </w:pPr>
      <w:rPr>
        <w:rFonts w:ascii="Arial" w:hAnsi="Arial" w:hint="default"/>
      </w:rPr>
    </w:lvl>
    <w:lvl w:ilvl="3" w:tplc="AAEED8E2" w:tentative="1">
      <w:start w:val="1"/>
      <w:numFmt w:val="bullet"/>
      <w:lvlText w:val="•"/>
      <w:lvlJc w:val="left"/>
      <w:pPr>
        <w:tabs>
          <w:tab w:val="num" w:pos="3600"/>
        </w:tabs>
        <w:ind w:left="3600" w:hanging="360"/>
      </w:pPr>
      <w:rPr>
        <w:rFonts w:ascii="Arial" w:hAnsi="Arial" w:hint="default"/>
      </w:rPr>
    </w:lvl>
    <w:lvl w:ilvl="4" w:tplc="DD743C80" w:tentative="1">
      <w:start w:val="1"/>
      <w:numFmt w:val="bullet"/>
      <w:lvlText w:val="•"/>
      <w:lvlJc w:val="left"/>
      <w:pPr>
        <w:tabs>
          <w:tab w:val="num" w:pos="4320"/>
        </w:tabs>
        <w:ind w:left="4320" w:hanging="360"/>
      </w:pPr>
      <w:rPr>
        <w:rFonts w:ascii="Arial" w:hAnsi="Arial" w:hint="default"/>
      </w:rPr>
    </w:lvl>
    <w:lvl w:ilvl="5" w:tplc="83BA1774" w:tentative="1">
      <w:start w:val="1"/>
      <w:numFmt w:val="bullet"/>
      <w:lvlText w:val="•"/>
      <w:lvlJc w:val="left"/>
      <w:pPr>
        <w:tabs>
          <w:tab w:val="num" w:pos="5040"/>
        </w:tabs>
        <w:ind w:left="5040" w:hanging="360"/>
      </w:pPr>
      <w:rPr>
        <w:rFonts w:ascii="Arial" w:hAnsi="Arial" w:hint="default"/>
      </w:rPr>
    </w:lvl>
    <w:lvl w:ilvl="6" w:tplc="FC7CD3E0" w:tentative="1">
      <w:start w:val="1"/>
      <w:numFmt w:val="bullet"/>
      <w:lvlText w:val="•"/>
      <w:lvlJc w:val="left"/>
      <w:pPr>
        <w:tabs>
          <w:tab w:val="num" w:pos="5760"/>
        </w:tabs>
        <w:ind w:left="5760" w:hanging="360"/>
      </w:pPr>
      <w:rPr>
        <w:rFonts w:ascii="Arial" w:hAnsi="Arial" w:hint="default"/>
      </w:rPr>
    </w:lvl>
    <w:lvl w:ilvl="7" w:tplc="CAE2BAC6" w:tentative="1">
      <w:start w:val="1"/>
      <w:numFmt w:val="bullet"/>
      <w:lvlText w:val="•"/>
      <w:lvlJc w:val="left"/>
      <w:pPr>
        <w:tabs>
          <w:tab w:val="num" w:pos="6480"/>
        </w:tabs>
        <w:ind w:left="6480" w:hanging="360"/>
      </w:pPr>
      <w:rPr>
        <w:rFonts w:ascii="Arial" w:hAnsi="Arial" w:hint="default"/>
      </w:rPr>
    </w:lvl>
    <w:lvl w:ilvl="8" w:tplc="C090FA0E"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424212C3"/>
    <w:multiLevelType w:val="hybridMultilevel"/>
    <w:tmpl w:val="AEEC13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3B766B2"/>
    <w:multiLevelType w:val="hybridMultilevel"/>
    <w:tmpl w:val="AEEC13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51E1BE3"/>
    <w:multiLevelType w:val="hybridMultilevel"/>
    <w:tmpl w:val="CE704EE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C266B42"/>
    <w:multiLevelType w:val="hybridMultilevel"/>
    <w:tmpl w:val="433A724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C82734E"/>
    <w:multiLevelType w:val="hybridMultilevel"/>
    <w:tmpl w:val="8E4EE1F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98A65DB"/>
    <w:multiLevelType w:val="hybridMultilevel"/>
    <w:tmpl w:val="82465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9"/>
  </w:num>
  <w:num w:numId="5">
    <w:abstractNumId w:val="4"/>
  </w:num>
  <w:num w:numId="6">
    <w:abstractNumId w:val="1"/>
  </w:num>
  <w:num w:numId="7">
    <w:abstractNumId w:val="3"/>
  </w:num>
  <w:num w:numId="8">
    <w:abstractNumId w:val="11"/>
  </w:num>
  <w:num w:numId="9">
    <w:abstractNumId w:val="2"/>
  </w:num>
  <w:num w:numId="10">
    <w:abstractNumId w:val="15"/>
  </w:num>
  <w:num w:numId="11">
    <w:abstractNumId w:val="12"/>
  </w:num>
  <w:num w:numId="12">
    <w:abstractNumId w:val="8"/>
  </w:num>
  <w:num w:numId="13">
    <w:abstractNumId w:val="0"/>
  </w:num>
  <w:num w:numId="14">
    <w:abstractNumId w:val="1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71"/>
    <w:rsid w:val="00010838"/>
    <w:rsid w:val="00041DFA"/>
    <w:rsid w:val="00043A2B"/>
    <w:rsid w:val="000520CC"/>
    <w:rsid w:val="00052D1E"/>
    <w:rsid w:val="000677A8"/>
    <w:rsid w:val="00081BEC"/>
    <w:rsid w:val="000829D7"/>
    <w:rsid w:val="00084842"/>
    <w:rsid w:val="0009230F"/>
    <w:rsid w:val="0009514F"/>
    <w:rsid w:val="000A0B27"/>
    <w:rsid w:val="000B14A5"/>
    <w:rsid w:val="000B3EE3"/>
    <w:rsid w:val="000C5743"/>
    <w:rsid w:val="000C5C25"/>
    <w:rsid w:val="000D1539"/>
    <w:rsid w:val="000D7768"/>
    <w:rsid w:val="000F6419"/>
    <w:rsid w:val="001055AC"/>
    <w:rsid w:val="0011067C"/>
    <w:rsid w:val="00127848"/>
    <w:rsid w:val="00151A0E"/>
    <w:rsid w:val="0015384A"/>
    <w:rsid w:val="00170E64"/>
    <w:rsid w:val="001826CF"/>
    <w:rsid w:val="00187C9D"/>
    <w:rsid w:val="00191812"/>
    <w:rsid w:val="00194A09"/>
    <w:rsid w:val="00196C0A"/>
    <w:rsid w:val="001A0343"/>
    <w:rsid w:val="001A3664"/>
    <w:rsid w:val="001B5AF6"/>
    <w:rsid w:val="001D1097"/>
    <w:rsid w:val="001E4131"/>
    <w:rsid w:val="001F5D18"/>
    <w:rsid w:val="0021476D"/>
    <w:rsid w:val="00283B78"/>
    <w:rsid w:val="00293021"/>
    <w:rsid w:val="002C6B37"/>
    <w:rsid w:val="002E356B"/>
    <w:rsid w:val="0030304C"/>
    <w:rsid w:val="00312BF0"/>
    <w:rsid w:val="00345CA1"/>
    <w:rsid w:val="00350170"/>
    <w:rsid w:val="00362A38"/>
    <w:rsid w:val="00373172"/>
    <w:rsid w:val="003769AD"/>
    <w:rsid w:val="00386737"/>
    <w:rsid w:val="0038691B"/>
    <w:rsid w:val="00391092"/>
    <w:rsid w:val="003A73AD"/>
    <w:rsid w:val="003B5636"/>
    <w:rsid w:val="003C100F"/>
    <w:rsid w:val="003D4ED6"/>
    <w:rsid w:val="004114AF"/>
    <w:rsid w:val="00413720"/>
    <w:rsid w:val="00417EEC"/>
    <w:rsid w:val="00442DFA"/>
    <w:rsid w:val="00444C71"/>
    <w:rsid w:val="00474034"/>
    <w:rsid w:val="004743D5"/>
    <w:rsid w:val="0047752B"/>
    <w:rsid w:val="00477C83"/>
    <w:rsid w:val="0048069B"/>
    <w:rsid w:val="004A09D5"/>
    <w:rsid w:val="004C72E9"/>
    <w:rsid w:val="004C79E3"/>
    <w:rsid w:val="00501384"/>
    <w:rsid w:val="00515A7F"/>
    <w:rsid w:val="00516217"/>
    <w:rsid w:val="0052132B"/>
    <w:rsid w:val="005313F4"/>
    <w:rsid w:val="0054088A"/>
    <w:rsid w:val="00560F1F"/>
    <w:rsid w:val="00572F94"/>
    <w:rsid w:val="00574191"/>
    <w:rsid w:val="005A0D3E"/>
    <w:rsid w:val="005B2DA4"/>
    <w:rsid w:val="005C7341"/>
    <w:rsid w:val="005E2BE2"/>
    <w:rsid w:val="005F71C5"/>
    <w:rsid w:val="00602A2D"/>
    <w:rsid w:val="006058C1"/>
    <w:rsid w:val="0061292F"/>
    <w:rsid w:val="00613ABF"/>
    <w:rsid w:val="0061563A"/>
    <w:rsid w:val="0062004E"/>
    <w:rsid w:val="00623523"/>
    <w:rsid w:val="00633EEA"/>
    <w:rsid w:val="00634981"/>
    <w:rsid w:val="00635ADF"/>
    <w:rsid w:val="00671682"/>
    <w:rsid w:val="0068572A"/>
    <w:rsid w:val="00692516"/>
    <w:rsid w:val="006A0C1D"/>
    <w:rsid w:val="006A45B8"/>
    <w:rsid w:val="006A64A4"/>
    <w:rsid w:val="006B0524"/>
    <w:rsid w:val="006B46BD"/>
    <w:rsid w:val="006C74A6"/>
    <w:rsid w:val="006E5E6D"/>
    <w:rsid w:val="006F4B5E"/>
    <w:rsid w:val="006F57C6"/>
    <w:rsid w:val="006F6604"/>
    <w:rsid w:val="00736128"/>
    <w:rsid w:val="00743899"/>
    <w:rsid w:val="00745CBC"/>
    <w:rsid w:val="00754F5F"/>
    <w:rsid w:val="00756E68"/>
    <w:rsid w:val="007746A8"/>
    <w:rsid w:val="0077494A"/>
    <w:rsid w:val="00774AB7"/>
    <w:rsid w:val="00784817"/>
    <w:rsid w:val="0078609A"/>
    <w:rsid w:val="007A399C"/>
    <w:rsid w:val="007A6810"/>
    <w:rsid w:val="007C08B3"/>
    <w:rsid w:val="007D3A99"/>
    <w:rsid w:val="007D58D8"/>
    <w:rsid w:val="007E1D3C"/>
    <w:rsid w:val="007E5573"/>
    <w:rsid w:val="007F7D44"/>
    <w:rsid w:val="00821EEA"/>
    <w:rsid w:val="0082257C"/>
    <w:rsid w:val="0085294C"/>
    <w:rsid w:val="0086682E"/>
    <w:rsid w:val="00870EBF"/>
    <w:rsid w:val="008760D8"/>
    <w:rsid w:val="008976B8"/>
    <w:rsid w:val="008A79DC"/>
    <w:rsid w:val="008C0BFB"/>
    <w:rsid w:val="008C4F73"/>
    <w:rsid w:val="008E5A08"/>
    <w:rsid w:val="0090740C"/>
    <w:rsid w:val="00913385"/>
    <w:rsid w:val="00914325"/>
    <w:rsid w:val="0093017F"/>
    <w:rsid w:val="00973C5F"/>
    <w:rsid w:val="009836E9"/>
    <w:rsid w:val="0098712E"/>
    <w:rsid w:val="009A6267"/>
    <w:rsid w:val="009B3802"/>
    <w:rsid w:val="009B74DE"/>
    <w:rsid w:val="009D675C"/>
    <w:rsid w:val="009E7CFC"/>
    <w:rsid w:val="00A026DB"/>
    <w:rsid w:val="00A04B9D"/>
    <w:rsid w:val="00A04E71"/>
    <w:rsid w:val="00A07829"/>
    <w:rsid w:val="00A32648"/>
    <w:rsid w:val="00A43182"/>
    <w:rsid w:val="00A45E34"/>
    <w:rsid w:val="00A52C81"/>
    <w:rsid w:val="00A54B73"/>
    <w:rsid w:val="00A67B5D"/>
    <w:rsid w:val="00A737BC"/>
    <w:rsid w:val="00A7671D"/>
    <w:rsid w:val="00A9099E"/>
    <w:rsid w:val="00AA6C14"/>
    <w:rsid w:val="00AB3F71"/>
    <w:rsid w:val="00AC1265"/>
    <w:rsid w:val="00AD229E"/>
    <w:rsid w:val="00AE5BC0"/>
    <w:rsid w:val="00AF29E6"/>
    <w:rsid w:val="00B104C5"/>
    <w:rsid w:val="00B1525F"/>
    <w:rsid w:val="00B51092"/>
    <w:rsid w:val="00B57C91"/>
    <w:rsid w:val="00B67986"/>
    <w:rsid w:val="00B70985"/>
    <w:rsid w:val="00B769B9"/>
    <w:rsid w:val="00BA406E"/>
    <w:rsid w:val="00BC01F7"/>
    <w:rsid w:val="00BD3A8E"/>
    <w:rsid w:val="00BE76FB"/>
    <w:rsid w:val="00C034AE"/>
    <w:rsid w:val="00C07008"/>
    <w:rsid w:val="00C1627B"/>
    <w:rsid w:val="00C25BA1"/>
    <w:rsid w:val="00C62D79"/>
    <w:rsid w:val="00C920CA"/>
    <w:rsid w:val="00C94D15"/>
    <w:rsid w:val="00C95D41"/>
    <w:rsid w:val="00CB62C5"/>
    <w:rsid w:val="00CC044E"/>
    <w:rsid w:val="00CC11E1"/>
    <w:rsid w:val="00CC178B"/>
    <w:rsid w:val="00CD70E1"/>
    <w:rsid w:val="00CE1C70"/>
    <w:rsid w:val="00CE4FDC"/>
    <w:rsid w:val="00CF2DB1"/>
    <w:rsid w:val="00CF4678"/>
    <w:rsid w:val="00CF46BF"/>
    <w:rsid w:val="00CF6ADA"/>
    <w:rsid w:val="00CF7825"/>
    <w:rsid w:val="00D14D0F"/>
    <w:rsid w:val="00D173B4"/>
    <w:rsid w:val="00D258FD"/>
    <w:rsid w:val="00D51C07"/>
    <w:rsid w:val="00D63E35"/>
    <w:rsid w:val="00D752AD"/>
    <w:rsid w:val="00D8394D"/>
    <w:rsid w:val="00D85F25"/>
    <w:rsid w:val="00DB1DB3"/>
    <w:rsid w:val="00DB4B42"/>
    <w:rsid w:val="00DD2D0C"/>
    <w:rsid w:val="00DF1479"/>
    <w:rsid w:val="00E04756"/>
    <w:rsid w:val="00E10A70"/>
    <w:rsid w:val="00E1666B"/>
    <w:rsid w:val="00E20484"/>
    <w:rsid w:val="00E328BC"/>
    <w:rsid w:val="00E37407"/>
    <w:rsid w:val="00E4209D"/>
    <w:rsid w:val="00E52414"/>
    <w:rsid w:val="00E57662"/>
    <w:rsid w:val="00E620B9"/>
    <w:rsid w:val="00E776C1"/>
    <w:rsid w:val="00E966C1"/>
    <w:rsid w:val="00EA6117"/>
    <w:rsid w:val="00EA7D24"/>
    <w:rsid w:val="00EC029A"/>
    <w:rsid w:val="00EC3171"/>
    <w:rsid w:val="00EC71B1"/>
    <w:rsid w:val="00EE4A71"/>
    <w:rsid w:val="00EF48C0"/>
    <w:rsid w:val="00F01C1C"/>
    <w:rsid w:val="00F16DC5"/>
    <w:rsid w:val="00F24614"/>
    <w:rsid w:val="00F3462C"/>
    <w:rsid w:val="00F36E22"/>
    <w:rsid w:val="00F432D5"/>
    <w:rsid w:val="00F51343"/>
    <w:rsid w:val="00F5366B"/>
    <w:rsid w:val="00F545F1"/>
    <w:rsid w:val="00F56634"/>
    <w:rsid w:val="00F750D1"/>
    <w:rsid w:val="00F815B9"/>
    <w:rsid w:val="00F82AEE"/>
    <w:rsid w:val="00F86C5F"/>
    <w:rsid w:val="00F9040F"/>
    <w:rsid w:val="00F94179"/>
    <w:rsid w:val="00FA2558"/>
    <w:rsid w:val="00FA52C8"/>
    <w:rsid w:val="00FB0B65"/>
    <w:rsid w:val="00FB0C5A"/>
    <w:rsid w:val="00FB1AAC"/>
    <w:rsid w:val="00FD0846"/>
    <w:rsid w:val="00FE24C4"/>
    <w:rsid w:val="00FF28D2"/>
    <w:rsid w:val="00FF488F"/>
    <w:rsid w:val="00FF5E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24D4"/>
  <w15:docId w15:val="{46C96F49-D2C1-48C2-AFED-683D98F9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paragraph" w:styleId="ListParagraph">
    <w:name w:val="List Paragraph"/>
    <w:aliases w:val="Indent Paragraph,Recommendation,List Paragraph1,Riana Table Bullets 1,List Paragraph (numbered (a)),List_Paragraph,Multilevel para_II,MC Paragraphe Liste,References,HEAD 3,Paragraph,KDBS List Paragraph"/>
    <w:basedOn w:val="Normal"/>
    <w:link w:val="ListParagraphChar"/>
    <w:uiPriority w:val="34"/>
    <w:qFormat/>
    <w:rsid w:val="008A79DC"/>
    <w:pPr>
      <w:ind w:left="720"/>
      <w:contextualSpacing/>
    </w:pPr>
  </w:style>
  <w:style w:type="paragraph" w:styleId="NormalWeb">
    <w:name w:val="Normal (Web)"/>
    <w:basedOn w:val="Normal"/>
    <w:uiPriority w:val="99"/>
    <w:unhideWhenUsed/>
    <w:rsid w:val="008A79DC"/>
    <w:pPr>
      <w:spacing w:before="100" w:beforeAutospacing="1" w:after="100" w:afterAutospacing="1" w:line="240" w:lineRule="auto"/>
    </w:pPr>
    <w:rPr>
      <w:rFonts w:ascii="Times New Roman" w:hAnsi="Times New Roman" w:cs="Times New Roman"/>
      <w:sz w:val="24"/>
      <w:szCs w:val="24"/>
      <w:lang w:eastAsia="en-ZA"/>
    </w:rPr>
  </w:style>
  <w:style w:type="character" w:styleId="Hyperlink">
    <w:name w:val="Hyperlink"/>
    <w:basedOn w:val="DefaultParagraphFont"/>
    <w:uiPriority w:val="99"/>
    <w:unhideWhenUsed/>
    <w:rsid w:val="00EF48C0"/>
    <w:rPr>
      <w:color w:val="0000FF" w:themeColor="hyperlink"/>
      <w:u w:val="single"/>
    </w:rPr>
  </w:style>
  <w:style w:type="character" w:styleId="CommentReference">
    <w:name w:val="annotation reference"/>
    <w:basedOn w:val="DefaultParagraphFont"/>
    <w:uiPriority w:val="99"/>
    <w:semiHidden/>
    <w:unhideWhenUsed/>
    <w:rsid w:val="007A6810"/>
    <w:rPr>
      <w:sz w:val="16"/>
      <w:szCs w:val="16"/>
    </w:rPr>
  </w:style>
  <w:style w:type="paragraph" w:styleId="CommentText">
    <w:name w:val="annotation text"/>
    <w:basedOn w:val="Normal"/>
    <w:link w:val="CommentTextChar"/>
    <w:uiPriority w:val="99"/>
    <w:unhideWhenUsed/>
    <w:rsid w:val="007A6810"/>
    <w:pPr>
      <w:spacing w:line="240" w:lineRule="auto"/>
    </w:pPr>
    <w:rPr>
      <w:sz w:val="20"/>
      <w:szCs w:val="20"/>
    </w:rPr>
  </w:style>
  <w:style w:type="character" w:customStyle="1" w:styleId="CommentTextChar">
    <w:name w:val="Comment Text Char"/>
    <w:basedOn w:val="DefaultParagraphFont"/>
    <w:link w:val="CommentText"/>
    <w:uiPriority w:val="99"/>
    <w:rsid w:val="007A6810"/>
    <w:rPr>
      <w:sz w:val="20"/>
      <w:szCs w:val="20"/>
    </w:rPr>
  </w:style>
  <w:style w:type="paragraph" w:styleId="CommentSubject">
    <w:name w:val="annotation subject"/>
    <w:basedOn w:val="CommentText"/>
    <w:next w:val="CommentText"/>
    <w:link w:val="CommentSubjectChar"/>
    <w:uiPriority w:val="99"/>
    <w:semiHidden/>
    <w:unhideWhenUsed/>
    <w:rsid w:val="007A6810"/>
    <w:rPr>
      <w:b/>
      <w:bCs/>
    </w:rPr>
  </w:style>
  <w:style w:type="character" w:customStyle="1" w:styleId="CommentSubjectChar">
    <w:name w:val="Comment Subject Char"/>
    <w:basedOn w:val="CommentTextChar"/>
    <w:link w:val="CommentSubject"/>
    <w:uiPriority w:val="99"/>
    <w:semiHidden/>
    <w:rsid w:val="007A6810"/>
    <w:rPr>
      <w:b/>
      <w:bCs/>
      <w:sz w:val="20"/>
      <w:szCs w:val="20"/>
    </w:rPr>
  </w:style>
  <w:style w:type="paragraph" w:styleId="Revision">
    <w:name w:val="Revision"/>
    <w:hidden/>
    <w:uiPriority w:val="99"/>
    <w:semiHidden/>
    <w:rsid w:val="007A6810"/>
    <w:pPr>
      <w:spacing w:after="0" w:line="240" w:lineRule="auto"/>
    </w:pPr>
  </w:style>
  <w:style w:type="character" w:customStyle="1" w:styleId="ListParagraphChar">
    <w:name w:val="List Paragraph Char"/>
    <w:aliases w:val="Indent Paragraph Char,Recommendation Char,List Paragraph1 Char,Riana Table Bullets 1 Char,List Paragraph (numbered (a)) Char,List_Paragraph Char,Multilevel para_II Char,MC Paragraphe Liste Char,References Char,HEAD 3 Char"/>
    <w:link w:val="ListParagraph"/>
    <w:uiPriority w:val="34"/>
    <w:locked/>
    <w:rsid w:val="00010838"/>
  </w:style>
  <w:style w:type="table" w:styleId="TableGrid">
    <w:name w:val="Table Grid"/>
    <w:basedOn w:val="TableNormal"/>
    <w:uiPriority w:val="59"/>
    <w:rsid w:val="0063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69AD"/>
    <w:pPr>
      <w:spacing w:line="240" w:lineRule="auto"/>
    </w:pPr>
    <w:rPr>
      <w:rFonts w:ascii="Calibri" w:eastAsia="Times New Roman" w:hAnsi="Calibri" w:cs="Times New Roman"/>
      <w:b/>
      <w:bCs/>
      <w:color w:val="4F81BD" w:themeColor="accent1"/>
      <w:sz w:val="18"/>
      <w:szCs w:val="18"/>
    </w:rPr>
  </w:style>
  <w:style w:type="paragraph" w:styleId="FootnoteText">
    <w:name w:val="footnote text"/>
    <w:basedOn w:val="Normal"/>
    <w:link w:val="FootnoteTextChar"/>
    <w:uiPriority w:val="99"/>
    <w:unhideWhenUsed/>
    <w:rsid w:val="003769AD"/>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3769A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76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3048">
      <w:bodyDiv w:val="1"/>
      <w:marLeft w:val="0"/>
      <w:marRight w:val="0"/>
      <w:marTop w:val="0"/>
      <w:marBottom w:val="0"/>
      <w:divBdr>
        <w:top w:val="none" w:sz="0" w:space="0" w:color="auto"/>
        <w:left w:val="none" w:sz="0" w:space="0" w:color="auto"/>
        <w:bottom w:val="none" w:sz="0" w:space="0" w:color="auto"/>
        <w:right w:val="none" w:sz="0" w:space="0" w:color="auto"/>
      </w:divBdr>
    </w:div>
    <w:div w:id="1446146834">
      <w:bodyDiv w:val="1"/>
      <w:marLeft w:val="0"/>
      <w:marRight w:val="0"/>
      <w:marTop w:val="0"/>
      <w:marBottom w:val="0"/>
      <w:divBdr>
        <w:top w:val="none" w:sz="0" w:space="0" w:color="auto"/>
        <w:left w:val="none" w:sz="0" w:space="0" w:color="auto"/>
        <w:bottom w:val="none" w:sz="0" w:space="0" w:color="auto"/>
        <w:right w:val="none" w:sz="0" w:space="0" w:color="auto"/>
      </w:divBdr>
      <w:divsChild>
        <w:div w:id="326711307">
          <w:marLeft w:val="360"/>
          <w:marRight w:val="0"/>
          <w:marTop w:val="200"/>
          <w:marBottom w:val="0"/>
          <w:divBdr>
            <w:top w:val="none" w:sz="0" w:space="0" w:color="auto"/>
            <w:left w:val="none" w:sz="0" w:space="0" w:color="auto"/>
            <w:bottom w:val="none" w:sz="0" w:space="0" w:color="auto"/>
            <w:right w:val="none" w:sz="0" w:space="0" w:color="auto"/>
          </w:divBdr>
        </w:div>
        <w:div w:id="333997201">
          <w:marLeft w:val="360"/>
          <w:marRight w:val="0"/>
          <w:marTop w:val="200"/>
          <w:marBottom w:val="0"/>
          <w:divBdr>
            <w:top w:val="none" w:sz="0" w:space="0" w:color="auto"/>
            <w:left w:val="none" w:sz="0" w:space="0" w:color="auto"/>
            <w:bottom w:val="none" w:sz="0" w:space="0" w:color="auto"/>
            <w:right w:val="none" w:sz="0" w:space="0" w:color="auto"/>
          </w:divBdr>
        </w:div>
        <w:div w:id="572010768">
          <w:marLeft w:val="360"/>
          <w:marRight w:val="0"/>
          <w:marTop w:val="200"/>
          <w:marBottom w:val="0"/>
          <w:divBdr>
            <w:top w:val="none" w:sz="0" w:space="0" w:color="auto"/>
            <w:left w:val="none" w:sz="0" w:space="0" w:color="auto"/>
            <w:bottom w:val="none" w:sz="0" w:space="0" w:color="auto"/>
            <w:right w:val="none" w:sz="0" w:space="0" w:color="auto"/>
          </w:divBdr>
        </w:div>
        <w:div w:id="445778821">
          <w:marLeft w:val="360"/>
          <w:marRight w:val="0"/>
          <w:marTop w:val="200"/>
          <w:marBottom w:val="0"/>
          <w:divBdr>
            <w:top w:val="none" w:sz="0" w:space="0" w:color="auto"/>
            <w:left w:val="none" w:sz="0" w:space="0" w:color="auto"/>
            <w:bottom w:val="none" w:sz="0" w:space="0" w:color="auto"/>
            <w:right w:val="none" w:sz="0" w:space="0" w:color="auto"/>
          </w:divBdr>
        </w:div>
        <w:div w:id="1550531423">
          <w:marLeft w:val="360"/>
          <w:marRight w:val="0"/>
          <w:marTop w:val="200"/>
          <w:marBottom w:val="0"/>
          <w:divBdr>
            <w:top w:val="none" w:sz="0" w:space="0" w:color="auto"/>
            <w:left w:val="none" w:sz="0" w:space="0" w:color="auto"/>
            <w:bottom w:val="none" w:sz="0" w:space="0" w:color="auto"/>
            <w:right w:val="none" w:sz="0" w:space="0" w:color="auto"/>
          </w:divBdr>
        </w:div>
      </w:divsChild>
    </w:div>
    <w:div w:id="1545484093">
      <w:bodyDiv w:val="1"/>
      <w:marLeft w:val="0"/>
      <w:marRight w:val="0"/>
      <w:marTop w:val="0"/>
      <w:marBottom w:val="0"/>
      <w:divBdr>
        <w:top w:val="none" w:sz="0" w:space="0" w:color="auto"/>
        <w:left w:val="none" w:sz="0" w:space="0" w:color="auto"/>
        <w:bottom w:val="none" w:sz="0" w:space="0" w:color="auto"/>
        <w:right w:val="none" w:sz="0" w:space="0" w:color="auto"/>
      </w:divBdr>
    </w:div>
    <w:div w:id="19265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6052791\AppData\Local\Microsoft\Windows\Temporary%20Internet%20Files\Content.Outlook\8L98WHHZ\LH%20DEDAT%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A880-4519-44E7-8942-52C66FBA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DEDAT Eng</Template>
  <TotalTime>1</TotalTime>
  <Pages>8</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Solly Fourie</dc:creator>
  <cp:lastModifiedBy>Trace Venter</cp:lastModifiedBy>
  <cp:revision>2</cp:revision>
  <cp:lastPrinted>2017-08-31T05:37:00Z</cp:lastPrinted>
  <dcterms:created xsi:type="dcterms:W3CDTF">2018-05-10T18:18:00Z</dcterms:created>
  <dcterms:modified xsi:type="dcterms:W3CDTF">2018-05-10T18:18:00Z</dcterms:modified>
</cp:coreProperties>
</file>