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6B61" w:rsidRDefault="00A16B61" w:rsidP="00A16B61">
      <w:r>
        <w:rPr>
          <w:rFonts w:eastAsia="Times New Roman" w:cs="Times New Roman"/>
          <w:noProof/>
          <w:lang w:eastAsia="en-ZA"/>
        </w:rPr>
        <mc:AlternateContent>
          <mc:Choice Requires="wps">
            <w:drawing>
              <wp:anchor distT="0" distB="0" distL="114300" distR="114300" simplePos="0" relativeHeight="251663360" behindDoc="0" locked="0" layoutInCell="1" allowOverlap="1">
                <wp:simplePos x="0" y="0"/>
                <wp:positionH relativeFrom="column">
                  <wp:posOffset>2019300</wp:posOffset>
                </wp:positionH>
                <wp:positionV relativeFrom="paragraph">
                  <wp:posOffset>2540</wp:posOffset>
                </wp:positionV>
                <wp:extent cx="3838575" cy="542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838575" cy="5429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16B61" w:rsidRDefault="00A16B61" w:rsidP="00A16B61">
                            <w:pPr>
                              <w:jc w:val="center"/>
                            </w:pPr>
                            <w:r w:rsidRPr="00A16B61">
                              <w:rPr>
                                <w:b/>
                              </w:rPr>
                              <w:t>Basic Eligibility Criteria and Conditions Applicable to Funding Applications</w:t>
                            </w:r>
                            <w:r w:rsidR="0099084D">
                              <w:rPr>
                                <w:b/>
                              </w:rPr>
                              <w:t xml:space="preserve"> for 2018/19 Financial Year and Thereafter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pt;margin-top:.2pt;width:302.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" fillcolor="white [3201]" strokecolor="#4f81bd [3204]" strokeweight="2pt">
                <v:textbox>
                  <w:txbxContent>
                    <w:p w:rsidR="00A16B61" w:rsidRDefault="00A16B61" w:rsidP="00A16B61">
                      <w:pPr>
                        <w:jc w:val="center"/>
                      </w:pPr>
                      <w:r w:rsidRPr="00A16B61">
                        <w:rPr>
                          <w:b/>
                        </w:rPr>
                        <w:t>Basic Eligibility Criteria and Conditions Applicable to Funding Applications</w:t>
                      </w:r>
                      <w:r w:rsidR="0099084D">
                        <w:rPr>
                          <w:b/>
                        </w:rPr>
                        <w:t xml:space="preserve"> for 2018/19 Financial Year and Thereafter</w:t>
                      </w:r>
                    </w:p>
                  </w:txbxContent>
                </v:textbox>
              </v:shape>
            </w:pict>
          </mc:Fallback>
        </mc:AlternateContent>
      </w:r>
      <w:r>
        <w:rPr>
          <w:rFonts w:eastAsia="Times New Roman" w:cs="Times New Roman"/>
          <w:noProof/>
          <w:lang w:eastAsia="en-ZA"/>
        </w:rPr>
        <mc:AlternateContent>
          <mc:Choice Requires="wps">
            <w:drawing>
              <wp:anchor distT="0" distB="0" distL="114300" distR="114300" simplePos="0" relativeHeight="251662848" behindDoc="0" locked="0" layoutInCell="1" allowOverlap="1" wp14:anchorId="113D7CB1" wp14:editId="7EE55402">
                <wp:simplePos x="0" y="0"/>
                <wp:positionH relativeFrom="column">
                  <wp:posOffset>0</wp:posOffset>
                </wp:positionH>
                <wp:positionV relativeFrom="paragraph">
                  <wp:posOffset>0</wp:posOffset>
                </wp:positionV>
                <wp:extent cx="1685925" cy="657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85925" cy="657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16B61" w:rsidRDefault="00A16B61" w:rsidP="00A16B61">
                            <w:r w:rsidRPr="00A16B61">
                              <w:rPr>
                                <w:noProof/>
                                <w:lang w:eastAsia="en-ZA"/>
                              </w:rPr>
                              <w:drawing>
                                <wp:inline distT="0" distB="0" distL="0" distR="0" wp14:anchorId="7AE193F9" wp14:editId="3AF6BDA7">
                                  <wp:extent cx="1409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7CB1" id="Text Box 5" o:spid="_x0000_s1027" type="#_x0000_t202" style="position:absolute;margin-left:0;margin-top:0;width:132.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" fillcolor="white [3201]" strokecolor="#4f81bd [3204]" strokeweight="2pt">
                <v:textbox>
                  <w:txbxContent>
                    <w:p w:rsidR="00A16B61" w:rsidRDefault="00A16B61" w:rsidP="00A16B61">
                      <w:r w:rsidRPr="00A16B61">
                        <w:drawing>
                          <wp:inline distT="0" distB="0" distL="0" distR="0" wp14:anchorId="7AE193F9" wp14:editId="3AF6BDA7">
                            <wp:extent cx="1409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xbxContent>
                </v:textbox>
              </v:shape>
            </w:pict>
          </mc:Fallback>
        </mc:AlternateContent>
      </w:r>
    </w:p>
    <w:p w:rsidR="00A16B61" w:rsidRDefault="00A16B61" w:rsidP="00A16B61"/>
    <w:p w:rsidR="00A16B61" w:rsidRDefault="00A16B61" w:rsidP="00A16B61">
      <w:pPr>
        <w:rPr>
          <w:b/>
        </w:rPr>
      </w:pPr>
    </w:p>
    <w:p w:rsidR="00A16B61" w:rsidRDefault="00A16B61" w:rsidP="00A16B61">
      <w:pPr>
        <w:pStyle w:val="ListParagraph"/>
        <w:numPr>
          <w:ilvl w:val="0"/>
          <w:numId w:val="1"/>
        </w:numPr>
        <w:spacing w:line="360" w:lineRule="auto"/>
      </w:pPr>
      <w:r>
        <w:t>Be registered in terms of the NPO Act 71 of 1997 or Item 1 of Schedule 1 of the Companies Act 71 of 2008;</w:t>
      </w:r>
    </w:p>
    <w:p w:rsidR="00A16B61" w:rsidRDefault="00A16B61" w:rsidP="00A16B61">
      <w:pPr>
        <w:pStyle w:val="ListParagraph"/>
        <w:numPr>
          <w:ilvl w:val="0"/>
          <w:numId w:val="1"/>
        </w:numPr>
        <w:spacing w:line="360" w:lineRule="auto"/>
      </w:pPr>
      <w:r>
        <w:t>The above-mentioned registrations must be current and proof of validity must be included in the funding application (i.e. deregistered organisations will automatically be disqualified);</w:t>
      </w:r>
    </w:p>
    <w:p w:rsidR="0099084D" w:rsidRDefault="0099084D" w:rsidP="00A16B61">
      <w:pPr>
        <w:pStyle w:val="ListParagraph"/>
        <w:numPr>
          <w:ilvl w:val="0"/>
          <w:numId w:val="1"/>
        </w:numPr>
        <w:spacing w:line="360" w:lineRule="auto"/>
      </w:pPr>
      <w:r>
        <w:t>If the proposal relates to a specialised service requiring statutory registration, the organisation must supply evidence of registration in terms of the applicable legislative requirements</w:t>
      </w:r>
    </w:p>
    <w:p w:rsidR="00A16B61" w:rsidRDefault="00A16B61" w:rsidP="00A16B61">
      <w:pPr>
        <w:pStyle w:val="ListParagraph"/>
        <w:numPr>
          <w:ilvl w:val="0"/>
          <w:numId w:val="1"/>
        </w:numPr>
        <w:spacing w:line="360" w:lineRule="auto"/>
      </w:pPr>
      <w:r>
        <w:t xml:space="preserve">Proven track record of rendering of </w:t>
      </w:r>
      <w:r w:rsidR="0099084D">
        <w:t>social welfare/c</w:t>
      </w:r>
      <w:r>
        <w:t>ommunity development services within the RSA</w:t>
      </w:r>
      <w:r w:rsidR="0099084D">
        <w:t>;</w:t>
      </w:r>
    </w:p>
    <w:p w:rsidR="00A16B61" w:rsidRPr="00A16B61" w:rsidRDefault="00A16B61" w:rsidP="00A16B61">
      <w:pPr>
        <w:pStyle w:val="ListParagraph"/>
        <w:numPr>
          <w:ilvl w:val="0"/>
          <w:numId w:val="1"/>
        </w:numPr>
        <w:spacing w:line="360" w:lineRule="auto"/>
        <w:rPr>
          <w:b/>
        </w:rPr>
      </w:pPr>
      <w:r w:rsidRPr="0099084D">
        <w:t>As per the application forms clear targets, outputs and outcomes must be reflected in funding applications, which must be aligned to the Annual Perf</w:t>
      </w:r>
      <w:r w:rsidR="0099084D" w:rsidRPr="0099084D">
        <w:t>ormance Plan of the Department</w:t>
      </w:r>
      <w:r w:rsidR="0099084D">
        <w:rPr>
          <w:b/>
        </w:rPr>
        <w:t>;</w:t>
      </w:r>
    </w:p>
    <w:p w:rsidR="00A16B61" w:rsidRDefault="00A16B61" w:rsidP="00A16B61">
      <w:pPr>
        <w:pStyle w:val="ListParagraph"/>
        <w:numPr>
          <w:ilvl w:val="0"/>
          <w:numId w:val="1"/>
        </w:numPr>
        <w:spacing w:line="360" w:lineRule="auto"/>
      </w:pPr>
      <w:r>
        <w:t>Funding applications must further include audited or certified financial statements of the applicant organisation in respect of the previous financial year;</w:t>
      </w:r>
    </w:p>
    <w:p w:rsidR="00A16B61" w:rsidRDefault="00A16B61" w:rsidP="00A16B61">
      <w:pPr>
        <w:pStyle w:val="ListParagraph"/>
        <w:numPr>
          <w:ilvl w:val="0"/>
          <w:numId w:val="1"/>
        </w:numPr>
        <w:spacing w:line="360" w:lineRule="auto"/>
      </w:pPr>
      <w:r>
        <w:t>Funding applications must include indication by the applicant organisation of its internal monitoring and evaluation mechanisms and specifically declare its willingness to adhere to the Department's timelines for reporting on results;</w:t>
      </w:r>
    </w:p>
    <w:p w:rsidR="009E4B55" w:rsidRDefault="00A16B61" w:rsidP="00A16B61">
      <w:pPr>
        <w:pStyle w:val="ListParagraph"/>
        <w:numPr>
          <w:ilvl w:val="0"/>
          <w:numId w:val="1"/>
        </w:numPr>
        <w:spacing w:line="360" w:lineRule="auto"/>
      </w:pPr>
      <w:r>
        <w:t>Funding applications will be considered in accordance with the Western Cape Government's Department of Social Development's funding policy for NPOs. (which can be accessed via http.//www.westerncape.gov. za/sites/www. westerncape. gov.za/files/dsd.    policy on funding of ngos march 2014 pdf)</w:t>
      </w:r>
    </w:p>
    <w:sectPr w:rsidR="009E4B55" w:rsidSect="00A16B6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2D" w:rsidRDefault="00DA3D2D" w:rsidP="00A16B61">
      <w:pPr>
        <w:spacing w:after="0" w:line="240" w:lineRule="auto"/>
      </w:pPr>
      <w:r>
        <w:separator/>
      </w:r>
    </w:p>
  </w:endnote>
  <w:endnote w:type="continuationSeparator" w:id="0">
    <w:p w:rsidR="00DA3D2D" w:rsidRDefault="00DA3D2D" w:rsidP="00A1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2D" w:rsidRDefault="00DA3D2D" w:rsidP="00A16B61">
      <w:pPr>
        <w:spacing w:after="0" w:line="240" w:lineRule="auto"/>
      </w:pPr>
      <w:r>
        <w:separator/>
      </w:r>
    </w:p>
  </w:footnote>
  <w:footnote w:type="continuationSeparator" w:id="0">
    <w:p w:rsidR="00DA3D2D" w:rsidRDefault="00DA3D2D" w:rsidP="00A16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133"/>
    <w:multiLevelType w:val="hybridMultilevel"/>
    <w:tmpl w:val="4D288C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61"/>
    <w:rsid w:val="004E5AEA"/>
    <w:rsid w:val="0099084D"/>
    <w:rsid w:val="009E4B55"/>
    <w:rsid w:val="00A16B61"/>
    <w:rsid w:val="00C04506"/>
    <w:rsid w:val="00DA3D2D"/>
    <w:rsid w:val="00EE68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F9C0-3DCA-414A-9B9E-6117534A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BF14-75A3-40AD-886C-F8826159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Melanise Hindley</dc:creator>
  <cp:keywords/>
  <dc:description/>
  <cp:lastModifiedBy>Melanise Hindley</cp:lastModifiedBy>
  <cp:revision>2</cp:revision>
  <dcterms:created xsi:type="dcterms:W3CDTF">2017-04-12T09:12:00Z</dcterms:created>
  <dcterms:modified xsi:type="dcterms:W3CDTF">2017-04-12T09:12:00Z</dcterms:modified>
</cp:coreProperties>
</file>